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8A" w:rsidRDefault="00E5218A" w:rsidP="00E5218A">
      <w:pPr>
        <w:pStyle w:val="Akapitzlist3"/>
        <w:tabs>
          <w:tab w:val="left" w:pos="567"/>
        </w:tabs>
        <w:spacing w:before="120" w:after="0"/>
        <w:ind w:left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1a do SIWZ</w:t>
      </w:r>
    </w:p>
    <w:p w:rsidR="00E5218A" w:rsidRDefault="00E5218A" w:rsidP="00E5218A">
      <w:pPr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E5218A" w:rsidRDefault="00E5218A" w:rsidP="00E5218A">
      <w:pPr>
        <w:widowControl w:val="0"/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Szczegółowy opis przedmiotu zamówienia, zawierający warunki obligatoryjne i fakultatywne dotyczące Ubezpieczenie instalacji solarnych, fotowoltaicznych i pieców na biomasę zainstalowanych na terenie Gminy Biszcza.</w:t>
      </w:r>
    </w:p>
    <w:p w:rsidR="00E5218A" w:rsidRDefault="00E5218A" w:rsidP="00E5218A">
      <w:pPr>
        <w:widowControl w:val="0"/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</w:p>
    <w:p w:rsidR="00E5218A" w:rsidRDefault="00E5218A" w:rsidP="00E5218A">
      <w:pPr>
        <w:widowControl w:val="0"/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ubezpieczenia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color w:val="FF0000"/>
          <w:sz w:val="22"/>
          <w:szCs w:val="22"/>
        </w:rPr>
      </w:pPr>
    </w:p>
    <w:p w:rsidR="00E5218A" w:rsidRPr="00695AB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695ABE">
        <w:rPr>
          <w:rFonts w:ascii="Cambria" w:hAnsi="Cambria"/>
          <w:sz w:val="22"/>
          <w:szCs w:val="22"/>
        </w:rPr>
        <w:t>Kolektory solarne 1 351 578,59  zł (wartość księgowa brutto) – 133 instalacje ubezpieczenie obejmuje pełny okres 24 miesięcy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695ABE">
        <w:rPr>
          <w:rFonts w:ascii="Cambria" w:hAnsi="Cambria"/>
          <w:sz w:val="22"/>
          <w:szCs w:val="22"/>
        </w:rPr>
        <w:t xml:space="preserve">Kolektory </w:t>
      </w:r>
      <w:r w:rsidRPr="0000358E">
        <w:rPr>
          <w:rFonts w:ascii="Cambria" w:hAnsi="Cambria"/>
          <w:sz w:val="22"/>
          <w:szCs w:val="22"/>
        </w:rPr>
        <w:t>solarne 7 284 955,20 zł (wartość księgowa brutto) – 623 instalacje ubezpieczenie obejmuje okres do 30.06.2021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0358E">
        <w:rPr>
          <w:rFonts w:ascii="Cambria" w:hAnsi="Cambria"/>
          <w:sz w:val="22"/>
          <w:szCs w:val="22"/>
        </w:rPr>
        <w:t>Piece na biomasę 1 223 800,00 zł (wartość księgowa brutto)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0358E">
        <w:rPr>
          <w:rFonts w:ascii="Cambria" w:hAnsi="Cambria"/>
          <w:bCs/>
          <w:sz w:val="22"/>
          <w:szCs w:val="22"/>
        </w:rPr>
        <w:t>Ogniwa fotowoltaiczne 1 947 247,90 zł (wartość księgowa brutto)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695ABE">
        <w:rPr>
          <w:rFonts w:ascii="Cambria" w:hAnsi="Cambria"/>
          <w:sz w:val="22"/>
          <w:szCs w:val="22"/>
        </w:rPr>
        <w:t xml:space="preserve">obejmuje pełny okres </w:t>
      </w:r>
      <w:r>
        <w:rPr>
          <w:rFonts w:ascii="Cambria" w:hAnsi="Cambria"/>
          <w:sz w:val="22"/>
          <w:szCs w:val="22"/>
        </w:rPr>
        <w:br/>
      </w:r>
      <w:r w:rsidRPr="00695ABE">
        <w:rPr>
          <w:rFonts w:ascii="Cambria" w:hAnsi="Cambria"/>
          <w:sz w:val="22"/>
          <w:szCs w:val="22"/>
        </w:rPr>
        <w:t>24 miesięcy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Cs/>
          <w:sz w:val="22"/>
          <w:szCs w:val="22"/>
        </w:rPr>
      </w:pP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0358E">
        <w:rPr>
          <w:rFonts w:ascii="Cambria" w:hAnsi="Cambria"/>
          <w:sz w:val="22"/>
          <w:szCs w:val="22"/>
        </w:rPr>
        <w:t>Instalacje solarne</w:t>
      </w:r>
      <w:r>
        <w:rPr>
          <w:rFonts w:ascii="Cambria" w:hAnsi="Cambria"/>
          <w:sz w:val="22"/>
          <w:szCs w:val="22"/>
        </w:rPr>
        <w:t>, ogniwa fotowoltaiczne i piece</w:t>
      </w:r>
      <w:r w:rsidRPr="0000358E">
        <w:rPr>
          <w:rFonts w:ascii="Cambria" w:hAnsi="Cambria"/>
          <w:sz w:val="22"/>
          <w:szCs w:val="22"/>
        </w:rPr>
        <w:t xml:space="preserve"> zamontowane w budynkach odbiorców indywidualnych Gminy Biszcza oraz budynków Urzędu, realizowane w ramach projektu z Unii Europejskiej. 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0358E">
        <w:rPr>
          <w:rFonts w:ascii="Cambria" w:hAnsi="Cambria"/>
          <w:sz w:val="22"/>
          <w:szCs w:val="22"/>
        </w:rPr>
        <w:t>Informacje istotne do oceny ryzyka: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0358E">
        <w:rPr>
          <w:rFonts w:ascii="Cambria" w:hAnsi="Cambria"/>
          <w:sz w:val="22"/>
          <w:szCs w:val="22"/>
        </w:rPr>
        <w:t xml:space="preserve">- </w:t>
      </w:r>
      <w:proofErr w:type="spellStart"/>
      <w:r w:rsidRPr="0000358E">
        <w:rPr>
          <w:rFonts w:ascii="Cambria" w:hAnsi="Cambria"/>
          <w:sz w:val="22"/>
          <w:szCs w:val="22"/>
        </w:rPr>
        <w:t>Solary</w:t>
      </w:r>
      <w:proofErr w:type="spellEnd"/>
      <w:r w:rsidRPr="0000358E">
        <w:rPr>
          <w:rFonts w:ascii="Cambria" w:hAnsi="Cambria"/>
          <w:sz w:val="22"/>
          <w:szCs w:val="22"/>
        </w:rPr>
        <w:t xml:space="preserve"> zamontowane na dachu, ścianie lub ziemi </w:t>
      </w:r>
    </w:p>
    <w:p w:rsidR="00E5218A" w:rsidRPr="0000358E" w:rsidRDefault="00E5218A" w:rsidP="00E5218A">
      <w:pPr>
        <w:widowControl w:val="0"/>
        <w:tabs>
          <w:tab w:val="left" w:pos="426"/>
        </w:tabs>
        <w:ind w:left="426"/>
        <w:jc w:val="both"/>
        <w:rPr>
          <w:rFonts w:ascii="Cambria" w:hAnsi="Cambria"/>
          <w:b/>
          <w:sz w:val="22"/>
          <w:szCs w:val="22"/>
        </w:rPr>
      </w:pPr>
    </w:p>
    <w:p w:rsidR="00E5218A" w:rsidRPr="0000358E" w:rsidRDefault="00E5218A" w:rsidP="00E5218A">
      <w:pPr>
        <w:widowControl w:val="0"/>
        <w:numPr>
          <w:ilvl w:val="6"/>
          <w:numId w:val="1"/>
        </w:numPr>
        <w:tabs>
          <w:tab w:val="left" w:pos="426"/>
        </w:tabs>
        <w:ind w:left="426"/>
        <w:jc w:val="both"/>
        <w:rPr>
          <w:rFonts w:ascii="Cambria" w:hAnsi="Cambria"/>
          <w:b/>
          <w:sz w:val="22"/>
          <w:szCs w:val="22"/>
        </w:rPr>
      </w:pPr>
      <w:r w:rsidRPr="0000358E">
        <w:rPr>
          <w:rFonts w:ascii="Cambria" w:hAnsi="Cambria"/>
          <w:b/>
          <w:sz w:val="22"/>
          <w:szCs w:val="22"/>
        </w:rPr>
        <w:t xml:space="preserve">Suma ubezpieczenia: 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00358E">
        <w:rPr>
          <w:rFonts w:ascii="Cambria" w:hAnsi="Cambria"/>
          <w:b/>
          <w:sz w:val="22"/>
          <w:szCs w:val="22"/>
        </w:rPr>
        <w:t>Kolektory solarne 1 351 578,59 zł (wartość księgowa brutto) – ubezpieczenie na 24 miesiące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00358E">
        <w:rPr>
          <w:rFonts w:ascii="Cambria" w:hAnsi="Cambria"/>
          <w:b/>
          <w:sz w:val="22"/>
          <w:szCs w:val="22"/>
        </w:rPr>
        <w:t xml:space="preserve">Kolektory solarne 7 284 955,20 zł (wartość księgowa brutto) – ubezpieczenie na </w:t>
      </w:r>
      <w:r>
        <w:rPr>
          <w:rFonts w:ascii="Cambria" w:hAnsi="Cambria"/>
          <w:b/>
          <w:sz w:val="22"/>
          <w:szCs w:val="22"/>
        </w:rPr>
        <w:t>6</w:t>
      </w:r>
      <w:r w:rsidRPr="0000358E">
        <w:rPr>
          <w:rFonts w:ascii="Cambria" w:hAnsi="Cambria"/>
          <w:b/>
          <w:sz w:val="22"/>
          <w:szCs w:val="22"/>
        </w:rPr>
        <w:t xml:space="preserve"> miesięcy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00358E">
        <w:rPr>
          <w:rFonts w:ascii="Cambria" w:hAnsi="Cambria"/>
          <w:b/>
          <w:sz w:val="22"/>
          <w:szCs w:val="22"/>
        </w:rPr>
        <w:t>Piece na biomasę 1 223 800,00 zł (wartość księgowa brutto)</w:t>
      </w:r>
    </w:p>
    <w:p w:rsidR="00E5218A" w:rsidRPr="0000358E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00358E">
        <w:rPr>
          <w:rFonts w:ascii="Cambria" w:hAnsi="Cambria"/>
          <w:b/>
          <w:sz w:val="22"/>
          <w:szCs w:val="22"/>
        </w:rPr>
        <w:t>Ogniwa fotowoltaiczne 1 947 247,90 zł (wartość księgowa brutto)</w:t>
      </w:r>
    </w:p>
    <w:p w:rsidR="00E5218A" w:rsidRPr="00661FFF" w:rsidRDefault="00E5218A" w:rsidP="00E5218A">
      <w:pPr>
        <w:widowControl w:val="0"/>
        <w:tabs>
          <w:tab w:val="left" w:pos="426"/>
        </w:tabs>
        <w:ind w:left="426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E5218A" w:rsidRDefault="00E5218A" w:rsidP="00E5218A">
      <w:pPr>
        <w:widowControl w:val="0"/>
        <w:tabs>
          <w:tab w:val="left" w:pos="426"/>
        </w:tabs>
        <w:ind w:left="426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E5218A" w:rsidRDefault="00E5218A" w:rsidP="00E5218A">
      <w:pPr>
        <w:widowControl w:val="0"/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Zakres ubezpieczenia: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Ubezpieczenie mienia od ognia i innych zdarzeń losowych, obejmujący w szczególności następujące ryzyka łącznie: 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 – podstawowy</w:t>
      </w:r>
      <w:r>
        <w:rPr>
          <w:rFonts w:ascii="Cambria" w:hAnsi="Cambria"/>
          <w:sz w:val="22"/>
          <w:szCs w:val="22"/>
        </w:rPr>
        <w:t xml:space="preserve"> – pożar, uderzenie pioruna, eksplozja i implozja, upadek statku powietrznego, zniszczenie lub uszkodzenie ubezpieczonego mienia wskutek akcji ratowniczej, prowadzonej </w:t>
      </w:r>
      <w:r>
        <w:rPr>
          <w:rFonts w:ascii="Cambria" w:hAnsi="Cambria"/>
          <w:sz w:val="22"/>
          <w:szCs w:val="22"/>
        </w:rPr>
        <w:br/>
        <w:t>w związku z zaistniałymi zdarzeniami losowymi, objętymi umową ubezpieczenia,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PŻ – pozostałe żywioły</w:t>
      </w:r>
      <w:r>
        <w:rPr>
          <w:rFonts w:ascii="Cambria" w:hAnsi="Cambria"/>
          <w:sz w:val="22"/>
          <w:szCs w:val="22"/>
        </w:rPr>
        <w:t xml:space="preserve"> – huragan, deszcz nawalny, grad, napór śniegu lub lodu, lawina, trzęsienie ziemi, obsunięcie się ziemi, uderzenie pojazdu, upadek drzewa dym, sadza, huk ponaddźwiękowy, upadek drzew, budynków lub budowli, 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 – powódź</w:t>
      </w:r>
      <w:r>
        <w:rPr>
          <w:rFonts w:ascii="Cambria" w:hAnsi="Cambria"/>
          <w:sz w:val="22"/>
          <w:szCs w:val="22"/>
        </w:rPr>
        <w:t xml:space="preserve"> z limitem 50 000 zł na jedno zdarzenie i  600 000 zł na wszystkie zdarzenia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 – dewastacja</w:t>
      </w:r>
      <w:r>
        <w:rPr>
          <w:rFonts w:ascii="Cambria" w:hAnsi="Cambria"/>
          <w:sz w:val="22"/>
          <w:szCs w:val="22"/>
        </w:rPr>
        <w:t xml:space="preserve"> ubezpieczonego mienia przez osobę trzecią z limitem 50 000,00 zł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 – przepięcie</w:t>
      </w:r>
      <w:r>
        <w:rPr>
          <w:rFonts w:ascii="Cambria" w:hAnsi="Cambria"/>
          <w:sz w:val="22"/>
          <w:szCs w:val="22"/>
        </w:rPr>
        <w:t xml:space="preserve"> (rozumianego jako szkody spowodowane działaniem prądu elektrycznego, w tym również powstałe w czasie wyładowań atmosferycznych na skutek przepięcia lub wzbudzania się niszczących sił elektromagnetycznych w obwodach elektrycznych odbiorników) z limitem odszkodowawczym 250 000,- zł na jedno i wszystkie zdarzenia.</w:t>
      </w:r>
    </w:p>
    <w:p w:rsidR="00E5218A" w:rsidRDefault="00E5218A" w:rsidP="00E5218A">
      <w:pPr>
        <w:widowControl w:val="0"/>
        <w:overflowPunct w:val="0"/>
        <w:autoSpaceDE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Awaria instalacji lub urządzeń technologicznych – </w:t>
      </w:r>
      <w:r>
        <w:rPr>
          <w:rFonts w:ascii="Cambria" w:hAnsi="Cambria"/>
          <w:sz w:val="22"/>
          <w:szCs w:val="22"/>
        </w:rPr>
        <w:t>szkody w instalacjach lub urządzeniach wodociągowych, kanalizacyjnych, centralnego ogrzewania oraz innych urządzeniach technologicznych przesyłających media w postaci płynnej, wskutek ich nagłego, samoczynnego lub spowodowanego zamarzaniem pęknięcia, łącznie z kosztami robót pomocniczych związanych z ich naprawą i rozmrożeniem, łącznie z kosztami udokumentowanego poszukiwania miejsca szkody.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</w:p>
    <w:p w:rsidR="00E5218A" w:rsidRDefault="00E5218A" w:rsidP="00E5218A">
      <w:pPr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Warunki szczególne obligatoryjne: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klauzuli stempla bankowego lub pocztowego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klauzuli czasu ochrony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klauzuli nie ściągania rat nie wymagalnych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klauzuli zgłaszania szkód</w:t>
      </w:r>
    </w:p>
    <w:p w:rsidR="00E5218A" w:rsidRDefault="00E5218A" w:rsidP="00E5218A">
      <w:pPr>
        <w:numPr>
          <w:ilvl w:val="1"/>
          <w:numId w:val="3"/>
        </w:numPr>
        <w:tabs>
          <w:tab w:val="left" w:pos="851"/>
        </w:tabs>
        <w:ind w:left="851" w:hanging="85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podanej klauzuli dodatkowej przezornej sumy ubezpieczenia, z limitem 50 000,00 zł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Przyjęcie podanej klauzuli wynagrodzenia rzeczoznawców i ekspertów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Ubezpieczyciel nie wymaga instalacji odgromowych na budynkach na których zainstalowano przedmiot ubezpieczenia. 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Seria zdarzeń szkodowych powstałych na skutek jednego zdarzenia, traktowana jest jako jedno zdarzenie; odnosi się to również do zdarzeń objętych ochroną w ramach rozszerzeń ubezpieczenia przewidzianych w klauzulach dodatkowych i jakiekolwiek przewidziane w nich franszyzy lub udziały własne będą w takim przypadku potrącane wyłącznie jednokrotnie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Ochroną ubezpieczeniową dodatkowo objęte są szkody spowodowane kradzieżą elementów stałych. Limit odpowiedzialności wynosi 30 000,00 zł na jedno i wszystkie zdarzenia w każdym okresie ubezpieczenia.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Ochroną ubezpieczeniową dodatkowo objęte są szkody spowodowane przez zwierzęta. Limit odpowiedzialności wynosi 20 000,00 zł na jedno i wszystkie zdarzenia w każdym okresie ubezpieczenia.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Franszyza integralna – 200 zł, dla ryzyka przepięcia 100,00 zł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Franszyza redukcyjna – 300 zł dla ryzyka gradu i powodzi 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Franszyza redukcyjna – 300 zł dla ryzyka dewastacji dla zestawów zamontowanych na ziemi, w pozostałych przypadkach brak.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Udział własny zniesiony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Płatność składki rocznej w czterech ratach</w:t>
      </w:r>
    </w:p>
    <w:p w:rsidR="00E5218A" w:rsidRDefault="00E5218A" w:rsidP="00E5218A">
      <w:pPr>
        <w:widowControl w:val="0"/>
        <w:tabs>
          <w:tab w:val="left" w:pos="426"/>
        </w:tabs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E5218A" w:rsidRDefault="00E5218A" w:rsidP="00E5218A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Warunki szczególne fakultatywne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Zwieszenie limitu odpowiedzialności na ryzyko przepięcia z 250 000 zł do 400 000 zł;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Podwyższenie limitu odpowiedzialności dla ryzyka powodzi na 80 000 zł na jedno zdarzenie i 800 000 zł na wszystkie zdarzenia;</w:t>
      </w:r>
    </w:p>
    <w:p w:rsidR="00E5218A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Zniesienie franszyzy integralnej;</w:t>
      </w:r>
    </w:p>
    <w:p w:rsidR="00E5218A" w:rsidRPr="007C2E90" w:rsidRDefault="00E5218A" w:rsidP="00E5218A">
      <w:pPr>
        <w:widowControl w:val="0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Cambria" w:hAnsi="Cambria"/>
          <w:sz w:val="22"/>
          <w:szCs w:val="22"/>
        </w:rPr>
        <w:sectPr w:rsidR="00E5218A" w:rsidRPr="007C2E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1247" w:bottom="851" w:left="1247" w:header="720" w:footer="425" w:gutter="0"/>
          <w:cols w:space="708"/>
          <w:docGrid w:linePitch="360"/>
        </w:sectPr>
      </w:pPr>
      <w:r>
        <w:rPr>
          <w:rFonts w:ascii="Cambria" w:hAnsi="Cambria"/>
          <w:sz w:val="22"/>
          <w:szCs w:val="22"/>
        </w:rPr>
        <w:t xml:space="preserve">Zniesienie franszyzy redukcyjnej dla </w:t>
      </w:r>
      <w:proofErr w:type="spellStart"/>
      <w:r>
        <w:rPr>
          <w:rFonts w:ascii="Cambria" w:hAnsi="Cambria"/>
          <w:sz w:val="22"/>
          <w:szCs w:val="22"/>
        </w:rPr>
        <w:t>ryzyk</w:t>
      </w:r>
      <w:proofErr w:type="spellEnd"/>
      <w:r>
        <w:rPr>
          <w:rFonts w:ascii="Cambria" w:hAnsi="Cambria"/>
          <w:sz w:val="22"/>
          <w:szCs w:val="22"/>
        </w:rPr>
        <w:t xml:space="preserve"> gradu i powodzi.</w:t>
      </w:r>
    </w:p>
    <w:p w:rsidR="0060321F" w:rsidRDefault="0060321F">
      <w:bookmarkStart w:id="0" w:name="_GoBack"/>
      <w:bookmarkEnd w:id="0"/>
    </w:p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E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6"/>
    <w:multiLevelType w:val="multilevel"/>
    <w:tmpl w:val="00000056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82"/>
    <w:multiLevelType w:val="singleLevel"/>
    <w:tmpl w:val="00000082"/>
    <w:name w:val="WW8Num14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A5"/>
    <w:multiLevelType w:val="multilevel"/>
    <w:tmpl w:val="000000A5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2C"/>
    <w:rsid w:val="0060321F"/>
    <w:rsid w:val="00A366F2"/>
    <w:rsid w:val="00B5642C"/>
    <w:rsid w:val="00CA3BCE"/>
    <w:rsid w:val="00E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21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21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zlist3">
    <w:name w:val="Akapit z listą3"/>
    <w:basedOn w:val="Normalny"/>
    <w:rsid w:val="00E5218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21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21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zlist3">
    <w:name w:val="Akapit z listą3"/>
    <w:basedOn w:val="Normalny"/>
    <w:rsid w:val="00E5218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2020-10-22T12:27:00Z</dcterms:created>
  <dcterms:modified xsi:type="dcterms:W3CDTF">2020-10-22T12:28:00Z</dcterms:modified>
</cp:coreProperties>
</file>