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31" w:rsidRDefault="00141231" w:rsidP="00141231">
      <w:pPr>
        <w:jc w:val="right"/>
        <w:rPr>
          <w:rFonts w:ascii="Cambria" w:hAnsi="Cambria"/>
          <w:b/>
          <w:sz w:val="22"/>
          <w:szCs w:val="22"/>
        </w:rPr>
      </w:pPr>
      <w:r>
        <w:rPr>
          <w:rFonts w:ascii="Cambria" w:hAnsi="Cambria"/>
          <w:b/>
          <w:sz w:val="22"/>
          <w:szCs w:val="22"/>
        </w:rPr>
        <w:t>Załącznik Nr 1 do SIWZ</w:t>
      </w:r>
    </w:p>
    <w:p w:rsidR="00141231" w:rsidRDefault="00141231" w:rsidP="00141231">
      <w:pPr>
        <w:ind w:left="6375" w:firstLine="255"/>
        <w:jc w:val="right"/>
        <w:rPr>
          <w:rFonts w:ascii="Cambria" w:hAnsi="Cambria"/>
          <w:b/>
          <w:i/>
          <w:sz w:val="22"/>
          <w:szCs w:val="22"/>
          <w:u w:val="single"/>
        </w:rPr>
      </w:pPr>
    </w:p>
    <w:p w:rsidR="00141231" w:rsidRDefault="00141231" w:rsidP="00141231">
      <w:pPr>
        <w:jc w:val="both"/>
        <w:rPr>
          <w:rFonts w:ascii="Cambria" w:hAnsi="Cambria"/>
          <w:b/>
          <w:sz w:val="22"/>
          <w:szCs w:val="22"/>
        </w:rPr>
      </w:pPr>
    </w:p>
    <w:p w:rsidR="00141231" w:rsidRPr="004459EA" w:rsidRDefault="00141231" w:rsidP="00141231">
      <w:pPr>
        <w:widowControl w:val="0"/>
        <w:spacing w:after="120"/>
        <w:jc w:val="both"/>
        <w:outlineLvl w:val="0"/>
        <w:rPr>
          <w:rFonts w:ascii="Cambria" w:eastAsia="Calibri" w:hAnsi="Cambria"/>
          <w:b/>
          <w:sz w:val="22"/>
          <w:szCs w:val="22"/>
          <w:lang w:eastAsia="en-US"/>
        </w:rPr>
      </w:pPr>
      <w:bookmarkStart w:id="0" w:name="_GoBack"/>
      <w:r w:rsidRPr="004459EA">
        <w:rPr>
          <w:rFonts w:ascii="Cambria" w:eastAsia="Calibri" w:hAnsi="Cambria"/>
          <w:b/>
          <w:sz w:val="22"/>
          <w:szCs w:val="22"/>
          <w:lang w:eastAsia="en-US"/>
        </w:rPr>
        <w:t>Załącznik nr 1 do SIWZ: Postanowienia obligatoryjne dotyczące realizacji zamówienia oraz dane do oceny ryzyka.</w:t>
      </w:r>
    </w:p>
    <w:bookmarkEnd w:id="0"/>
    <w:p w:rsidR="00141231" w:rsidRPr="004459EA" w:rsidRDefault="00141231" w:rsidP="00141231">
      <w:pPr>
        <w:widowControl w:val="0"/>
        <w:numPr>
          <w:ilvl w:val="3"/>
          <w:numId w:val="1"/>
        </w:numPr>
        <w:tabs>
          <w:tab w:val="left" w:pos="426"/>
        </w:tabs>
        <w:suppressAutoHyphens w:val="0"/>
        <w:spacing w:line="276" w:lineRule="auto"/>
        <w:ind w:left="426" w:hanging="426"/>
        <w:contextualSpacing/>
        <w:jc w:val="both"/>
        <w:rPr>
          <w:rFonts w:ascii="Cambria" w:eastAsia="Calibri" w:hAnsi="Cambria"/>
          <w:i/>
          <w:sz w:val="22"/>
          <w:szCs w:val="22"/>
          <w:lang w:eastAsia="en-US"/>
        </w:rPr>
      </w:pPr>
      <w:r w:rsidRPr="004459EA">
        <w:rPr>
          <w:rFonts w:ascii="Cambria" w:eastAsia="Calibri" w:hAnsi="Cambria"/>
          <w:sz w:val="22"/>
          <w:szCs w:val="22"/>
          <w:lang w:eastAsia="en-US"/>
        </w:rPr>
        <w:t xml:space="preserve">Zamawiający zastrzega, że podany w niniejszej specyfikacji wykaz mienia oraz ilość ubezpieczonych osób może ulec zmianie. Wykonawca jest zobowiązany do objęcia ochroną ubezpieczeniową od dnia </w:t>
      </w:r>
      <w:r>
        <w:rPr>
          <w:rFonts w:ascii="Cambria" w:eastAsia="Calibri" w:hAnsi="Cambria"/>
          <w:sz w:val="22"/>
          <w:szCs w:val="22"/>
          <w:lang w:eastAsia="en-US"/>
        </w:rPr>
        <w:t>01.01.2021</w:t>
      </w:r>
      <w:r w:rsidRPr="004459EA">
        <w:rPr>
          <w:rFonts w:ascii="Cambria" w:eastAsia="Calibri" w:hAnsi="Cambria"/>
          <w:sz w:val="22"/>
          <w:szCs w:val="22"/>
          <w:lang w:eastAsia="en-US"/>
        </w:rPr>
        <w:t xml:space="preserve"> r. mienia i osób według stanu na dzień </w:t>
      </w:r>
      <w:r>
        <w:rPr>
          <w:rFonts w:ascii="Cambria" w:eastAsia="Calibri" w:hAnsi="Cambria"/>
          <w:sz w:val="22"/>
          <w:szCs w:val="22"/>
          <w:lang w:eastAsia="en-US"/>
        </w:rPr>
        <w:t>31.12,2020</w:t>
      </w:r>
      <w:r w:rsidRPr="004459EA">
        <w:rPr>
          <w:rFonts w:ascii="Cambria" w:eastAsia="Calibri" w:hAnsi="Cambria"/>
          <w:sz w:val="22"/>
          <w:szCs w:val="22"/>
          <w:lang w:eastAsia="en-US"/>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141231" w:rsidRPr="004459EA" w:rsidRDefault="00141231" w:rsidP="00141231">
      <w:pPr>
        <w:widowControl w:val="0"/>
        <w:numPr>
          <w:ilvl w:val="1"/>
          <w:numId w:val="3"/>
        </w:numPr>
        <w:tabs>
          <w:tab w:val="left" w:pos="709"/>
          <w:tab w:val="left" w:pos="900"/>
        </w:tabs>
        <w:suppressAutoHyphens w:val="0"/>
        <w:spacing w:line="276" w:lineRule="auto"/>
        <w:ind w:left="426" w:firstLine="0"/>
        <w:contextualSpacing/>
        <w:jc w:val="both"/>
        <w:rPr>
          <w:rFonts w:ascii="Cambria" w:hAnsi="Cambria"/>
          <w:i/>
          <w:sz w:val="22"/>
          <w:szCs w:val="22"/>
          <w:lang w:eastAsia="en-US"/>
        </w:rPr>
      </w:pPr>
      <w:r w:rsidRPr="004459EA">
        <w:rPr>
          <w:rFonts w:ascii="Cambria" w:hAnsi="Cambria"/>
          <w:i/>
          <w:sz w:val="22"/>
          <w:szCs w:val="22"/>
          <w:lang w:eastAsia="en-US"/>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141231" w:rsidRPr="004459EA" w:rsidRDefault="00141231" w:rsidP="00141231">
      <w:pPr>
        <w:widowControl w:val="0"/>
        <w:numPr>
          <w:ilvl w:val="1"/>
          <w:numId w:val="3"/>
        </w:numPr>
        <w:tabs>
          <w:tab w:val="left" w:pos="709"/>
          <w:tab w:val="left" w:pos="900"/>
        </w:tabs>
        <w:suppressAutoHyphens w:val="0"/>
        <w:spacing w:line="276" w:lineRule="auto"/>
        <w:ind w:left="426" w:firstLine="0"/>
        <w:contextualSpacing/>
        <w:jc w:val="both"/>
        <w:rPr>
          <w:rFonts w:ascii="Cambria" w:hAnsi="Cambria"/>
          <w:i/>
          <w:sz w:val="22"/>
          <w:szCs w:val="22"/>
          <w:lang w:eastAsia="en-US"/>
        </w:rPr>
      </w:pPr>
      <w:r w:rsidRPr="004459EA">
        <w:rPr>
          <w:rFonts w:ascii="Cambria" w:hAnsi="Cambria"/>
          <w:i/>
          <w:sz w:val="22"/>
          <w:szCs w:val="22"/>
          <w:lang w:eastAsia="en-US"/>
        </w:rPr>
        <w:t xml:space="preserve">Ubezpieczający/ubezpieczony zobowiązany jest do aktualizacji stanu środków trwałych w terminie do 60 dni od daty rozpoczęcia ochrony ubezpieczeniowej. </w:t>
      </w:r>
    </w:p>
    <w:p w:rsidR="00141231" w:rsidRPr="004459EA" w:rsidRDefault="00141231" w:rsidP="00141231">
      <w:pPr>
        <w:widowControl w:val="0"/>
        <w:numPr>
          <w:ilvl w:val="1"/>
          <w:numId w:val="3"/>
        </w:numPr>
        <w:tabs>
          <w:tab w:val="left" w:pos="709"/>
          <w:tab w:val="left" w:pos="900"/>
        </w:tabs>
        <w:suppressAutoHyphens w:val="0"/>
        <w:spacing w:line="276" w:lineRule="auto"/>
        <w:ind w:left="426" w:firstLine="0"/>
        <w:contextualSpacing/>
        <w:jc w:val="both"/>
        <w:rPr>
          <w:rFonts w:ascii="Cambria" w:hAnsi="Cambria"/>
          <w:i/>
          <w:sz w:val="22"/>
          <w:szCs w:val="22"/>
          <w:lang w:eastAsia="en-US"/>
        </w:rPr>
      </w:pPr>
      <w:r w:rsidRPr="004459EA">
        <w:rPr>
          <w:rFonts w:ascii="Cambria" w:hAnsi="Cambria"/>
          <w:i/>
          <w:sz w:val="22"/>
          <w:szCs w:val="22"/>
          <w:lang w:eastAsia="en-US"/>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141231" w:rsidRPr="004459EA" w:rsidRDefault="00141231" w:rsidP="00141231">
      <w:pPr>
        <w:widowControl w:val="0"/>
        <w:numPr>
          <w:ilvl w:val="1"/>
          <w:numId w:val="3"/>
        </w:numPr>
        <w:tabs>
          <w:tab w:val="left" w:pos="709"/>
          <w:tab w:val="left" w:pos="900"/>
        </w:tabs>
        <w:suppressAutoHyphens w:val="0"/>
        <w:spacing w:line="276" w:lineRule="auto"/>
        <w:ind w:left="426" w:firstLine="0"/>
        <w:contextualSpacing/>
        <w:jc w:val="both"/>
        <w:rPr>
          <w:rFonts w:ascii="Cambria" w:hAnsi="Cambria"/>
          <w:i/>
          <w:sz w:val="22"/>
          <w:szCs w:val="22"/>
          <w:lang w:eastAsia="en-US"/>
        </w:rPr>
      </w:pPr>
      <w:r w:rsidRPr="004459EA">
        <w:rPr>
          <w:rFonts w:ascii="Cambria" w:hAnsi="Cambria"/>
          <w:i/>
          <w:sz w:val="22"/>
          <w:szCs w:val="22"/>
          <w:lang w:eastAsia="en-US"/>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cs="Arial"/>
          <w:bCs/>
          <w:sz w:val="22"/>
          <w:szCs w:val="22"/>
          <w:lang w:eastAsia="en-U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141231" w:rsidRPr="004459EA" w:rsidRDefault="00141231" w:rsidP="00141231">
      <w:pPr>
        <w:widowControl w:val="0"/>
        <w:numPr>
          <w:ilvl w:val="3"/>
          <w:numId w:val="1"/>
        </w:numPr>
        <w:tabs>
          <w:tab w:val="left" w:pos="426"/>
        </w:tabs>
        <w:suppressAutoHyphens w:val="0"/>
        <w:spacing w:line="276" w:lineRule="auto"/>
        <w:ind w:left="425" w:hanging="425"/>
        <w:jc w:val="both"/>
        <w:rPr>
          <w:rFonts w:ascii="Cambria" w:eastAsia="Calibri" w:hAnsi="Cambria"/>
          <w:sz w:val="22"/>
          <w:szCs w:val="22"/>
          <w:lang w:eastAsia="en-US"/>
        </w:rPr>
      </w:pPr>
      <w:r w:rsidRPr="004459EA">
        <w:rPr>
          <w:rFonts w:ascii="Cambria" w:eastAsia="Calibri" w:hAnsi="Cambria"/>
          <w:sz w:val="22"/>
          <w:szCs w:val="22"/>
          <w:lang w:eastAsia="en-US"/>
        </w:rPr>
        <w:t>Wykonawca wykonując usługę będzie obejmował ochroną ubezpieczeniową wszystkie ryzyka i mienie wskazane w załącznikach do SIWZ, na warunkach wyznaczonych treścią SIWZ i zgodnych ze złożoną ofertą.</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 xml:space="preserve">Ogólne i szczególne warunki ubezpieczenia, którymi posługuje się wykonawca (aktualne na dzień składania ofert) i które wskazuje w dokumencie potwierdzającym ochronę ubezpieczeniową w zakresie </w:t>
      </w:r>
      <w:proofErr w:type="spellStart"/>
      <w:r w:rsidRPr="004459EA">
        <w:rPr>
          <w:rFonts w:ascii="Cambria" w:eastAsia="Calibri" w:hAnsi="Cambria"/>
          <w:sz w:val="22"/>
          <w:szCs w:val="22"/>
          <w:lang w:eastAsia="en-US"/>
        </w:rPr>
        <w:t>ryzyk</w:t>
      </w:r>
      <w:proofErr w:type="spellEnd"/>
      <w:r w:rsidRPr="004459EA">
        <w:rPr>
          <w:rFonts w:ascii="Cambria" w:eastAsia="Calibri" w:hAnsi="Cambria"/>
          <w:sz w:val="22"/>
          <w:szCs w:val="22"/>
          <w:lang w:eastAsia="en-US"/>
        </w:rPr>
        <w:t xml:space="preserve">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lastRenderedPageBreak/>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Wykonawca gwarantuje niezmienność warunków, stawek i składek rocznych wynikających ze złożonej oferty, przez cały okres wykonywania zamówienia i we wszystkich rodzajach ubezpieczeń.</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Wykonawca akceptuje proporcjonalną zmianę ceny ochrony ubezpieczeniowej w stosunku do ceny ofertowej z uwagi na zmienność w czasie ilości i wartości przedmiotu ubezpieczenia oraz w związku z wyrównaniem okresów wszystkich ubezpieczeń.</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Wykonawca akceptuje wystawianie polis na okres krótszy niż 1 rok, z naliczaniem składki co do dnia za faktyczny okres ochrony, według stawek rocznych zgodnych ze złożoną ofertą, bez stosowania składki minimalnej z polisy.</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W odniesieniu do jakichkolwiek z ubezpieczeń wykonawca rezygnuje ze stosowania składki minimalnej z polisy.</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bCs/>
          <w:iCs/>
          <w:sz w:val="22"/>
          <w:szCs w:val="22"/>
          <w:lang w:eastAsia="en-US"/>
        </w:rPr>
        <w:t xml:space="preserve">W przypadku zaistnienia konieczności zwrotu składki ubezpieczeniowej przez wykonawcę, </w:t>
      </w:r>
      <w:r>
        <w:rPr>
          <w:rFonts w:ascii="Cambria" w:eastAsia="Calibri" w:hAnsi="Cambria"/>
          <w:bCs/>
          <w:iCs/>
          <w:sz w:val="22"/>
          <w:szCs w:val="22"/>
          <w:lang w:eastAsia="en-US"/>
        </w:rPr>
        <w:br/>
      </w:r>
      <w:r w:rsidRPr="004459EA">
        <w:rPr>
          <w:rFonts w:ascii="Cambria" w:eastAsia="Calibri" w:hAnsi="Cambria"/>
          <w:bCs/>
          <w:iCs/>
          <w:sz w:val="22"/>
          <w:szCs w:val="22"/>
          <w:lang w:eastAsia="en-US"/>
        </w:rPr>
        <w:t xml:space="preserve">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w:t>
      </w:r>
      <w:r>
        <w:rPr>
          <w:rFonts w:ascii="Cambria" w:eastAsia="Calibri" w:hAnsi="Cambria"/>
          <w:bCs/>
          <w:iCs/>
          <w:sz w:val="22"/>
          <w:szCs w:val="22"/>
          <w:lang w:eastAsia="en-US"/>
        </w:rPr>
        <w:br/>
      </w:r>
      <w:r w:rsidRPr="004459EA">
        <w:rPr>
          <w:rFonts w:ascii="Cambria" w:eastAsia="Calibri" w:hAnsi="Cambria"/>
          <w:bCs/>
          <w:iCs/>
          <w:sz w:val="22"/>
          <w:szCs w:val="22"/>
          <w:lang w:eastAsia="en-US"/>
        </w:rPr>
        <w:t>nie następuje, a zamawiający reguluje kolejne jej raty, jeśli ustalono płatność ratalną.</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bCs/>
          <w:sz w:val="22"/>
          <w:szCs w:val="22"/>
          <w:lang w:eastAsia="en-US"/>
        </w:rPr>
        <w:t>Zamawiający zastrzega, że w odniesieniu do niektórych ubezpieczonych pozycji może istnieć konieczność wystawienia odrębnych polis (np. w przypadku cesji, dzierżawy).</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 xml:space="preserve">Odszkodowania wypłacane będą wraz z podatkiem VAT, jeśli podmioty objęte zamówieniem </w:t>
      </w:r>
      <w:r w:rsidRPr="004459EA">
        <w:rPr>
          <w:rFonts w:ascii="Cambria" w:eastAsia="Calibri" w:hAnsi="Cambria"/>
          <w:sz w:val="22"/>
          <w:szCs w:val="22"/>
          <w:lang w:eastAsia="en-US"/>
        </w:rPr>
        <w:br/>
        <w:t>nie dokonają jego odliczenia oraz bez podatku VAT, gdy podmioty te dokonają odliczenia podatku.</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 xml:space="preserve">Określone w załącznikach do niniejszej specyfikacji sumy ubezpieczenia /gwarancyjne i limity bądź </w:t>
      </w:r>
      <w:proofErr w:type="spellStart"/>
      <w:r w:rsidRPr="004459EA">
        <w:rPr>
          <w:rFonts w:ascii="Cambria" w:eastAsia="Calibri" w:hAnsi="Cambria"/>
          <w:sz w:val="22"/>
          <w:szCs w:val="22"/>
          <w:lang w:eastAsia="en-US"/>
        </w:rPr>
        <w:t>podlimity</w:t>
      </w:r>
      <w:proofErr w:type="spellEnd"/>
      <w:r w:rsidRPr="004459EA">
        <w:rPr>
          <w:rFonts w:ascii="Cambria" w:eastAsia="Calibri" w:hAnsi="Cambria"/>
          <w:sz w:val="22"/>
          <w:szCs w:val="22"/>
          <w:lang w:eastAsia="en-US"/>
        </w:rPr>
        <w:t xml:space="preserve"> odszkodowawcze w zakresie obligatoryjnym (w tym określone w klauzulach) oraz zaakceptowane przez wykonawcę w zakresie fakultatywnym (w tym określone </w:t>
      </w:r>
      <w:r w:rsidRPr="004459EA">
        <w:rPr>
          <w:rFonts w:ascii="Cambria" w:eastAsia="Calibri" w:hAnsi="Cambria"/>
          <w:sz w:val="22"/>
          <w:szCs w:val="22"/>
          <w:lang w:eastAsia="en-US"/>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 xml:space="preserve">Wprowadzenie dla poszczególnych </w:t>
      </w:r>
      <w:proofErr w:type="spellStart"/>
      <w:r w:rsidRPr="004459EA">
        <w:rPr>
          <w:rFonts w:ascii="Cambria" w:eastAsia="Calibri" w:hAnsi="Cambria"/>
          <w:sz w:val="22"/>
          <w:szCs w:val="22"/>
          <w:lang w:eastAsia="en-US"/>
        </w:rPr>
        <w:t>ryzyk</w:t>
      </w:r>
      <w:proofErr w:type="spellEnd"/>
      <w:r w:rsidRPr="004459EA">
        <w:rPr>
          <w:rFonts w:ascii="Cambria" w:eastAsia="Calibri" w:hAnsi="Cambria"/>
          <w:sz w:val="22"/>
          <w:szCs w:val="22"/>
          <w:lang w:eastAsia="en-US"/>
        </w:rPr>
        <w:t xml:space="preserve"> lub rozszerzeń zakresu ubezpieczenia limitów </w:t>
      </w:r>
      <w:r w:rsidRPr="004459EA">
        <w:rPr>
          <w:rFonts w:ascii="Cambria" w:eastAsia="Calibri" w:hAnsi="Cambria"/>
          <w:sz w:val="22"/>
          <w:szCs w:val="22"/>
          <w:lang w:eastAsia="en-US"/>
        </w:rPr>
        <w:lastRenderedPageBreak/>
        <w:t xml:space="preserve">bądź </w:t>
      </w:r>
      <w:proofErr w:type="spellStart"/>
      <w:r w:rsidRPr="004459EA">
        <w:rPr>
          <w:rFonts w:ascii="Cambria" w:eastAsia="Calibri" w:hAnsi="Cambria"/>
          <w:sz w:val="22"/>
          <w:szCs w:val="22"/>
          <w:lang w:eastAsia="en-US"/>
        </w:rPr>
        <w:t>podlimitów</w:t>
      </w:r>
      <w:proofErr w:type="spellEnd"/>
      <w:r w:rsidRPr="004459EA">
        <w:rPr>
          <w:rFonts w:ascii="Cambria" w:eastAsia="Calibri" w:hAnsi="Cambria"/>
          <w:sz w:val="22"/>
          <w:szCs w:val="22"/>
          <w:lang w:eastAsia="en-US"/>
        </w:rPr>
        <w:t xml:space="preserve"> odszkodowawczych innych albo dodatkowych niż określone w załącznikach do specyfikacji jest niedopuszczalne.</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bCs/>
          <w:sz w:val="22"/>
          <w:szCs w:val="22"/>
          <w:lang w:eastAsia="en-US"/>
        </w:rPr>
        <w:t xml:space="preserve">W przypadku zaistnienia szkody (zdarzenia, wypadku ubezpieczeniowego), w odniesieniu </w:t>
      </w:r>
      <w:r w:rsidRPr="004459EA">
        <w:rPr>
          <w:rFonts w:ascii="Cambria" w:eastAsia="Calibri" w:hAnsi="Cambria"/>
          <w:bCs/>
          <w:sz w:val="22"/>
          <w:szCs w:val="22"/>
          <w:lang w:eastAsia="en-U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4459EA">
        <w:rPr>
          <w:rFonts w:ascii="Cambria" w:eastAsia="Calibri" w:hAnsi="Cambria"/>
          <w:bCs/>
          <w:sz w:val="22"/>
          <w:szCs w:val="22"/>
          <w:lang w:eastAsia="en-US"/>
        </w:rPr>
        <w:br/>
        <w:t xml:space="preserve">i ubezpieczonego), przez które w szczególności należy rozumieć szerszy zakres ubezpieczenia, wyższe limity odpowiedzialności, mniejsze jej ograniczenia, a także niższe franszyzy i udziały własne. </w:t>
      </w:r>
    </w:p>
    <w:p w:rsidR="00141231"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Jeżeli ogólne lub szczególne warunki ubezpieczenia przewidują odmowę lub ograniczenie wypłaty odszkodowania lub ograniczenie bądź zawieszenie ochrony ubezpieczeniowej z powodu niedopełnienia przez zamawiającego (</w:t>
      </w:r>
      <w:r w:rsidRPr="004459EA">
        <w:rPr>
          <w:rFonts w:ascii="Cambria" w:eastAsia="Calibri" w:hAnsi="Cambria" w:cs="Verdana"/>
          <w:sz w:val="22"/>
          <w:szCs w:val="22"/>
          <w:lang w:eastAsia="en-US"/>
        </w:rPr>
        <w:t>ubezpieczającego lub ubezpieczonego</w:t>
      </w:r>
      <w:r w:rsidRPr="004459EA">
        <w:rPr>
          <w:rFonts w:ascii="Cambria" w:eastAsia="Calibri" w:hAnsi="Cambria"/>
          <w:sz w:val="22"/>
          <w:szCs w:val="22"/>
          <w:lang w:eastAsia="en-US"/>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141231" w:rsidRPr="004459EA" w:rsidRDefault="00141231" w:rsidP="00141231">
      <w:pPr>
        <w:widowControl w:val="0"/>
        <w:tabs>
          <w:tab w:val="left" w:pos="426"/>
        </w:tabs>
        <w:suppressAutoHyphens w:val="0"/>
        <w:spacing w:line="276" w:lineRule="auto"/>
        <w:ind w:left="426"/>
        <w:jc w:val="both"/>
        <w:rPr>
          <w:rFonts w:ascii="Cambria" w:eastAsia="Calibri" w:hAnsi="Cambria"/>
          <w:sz w:val="22"/>
          <w:szCs w:val="22"/>
          <w:lang w:eastAsia="en-US"/>
        </w:rPr>
      </w:pP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cs="Verdana"/>
          <w:sz w:val="22"/>
          <w:szCs w:val="22"/>
          <w:lang w:eastAsia="en-US"/>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4459EA">
        <w:rPr>
          <w:rFonts w:ascii="Cambria" w:eastAsia="Calibri" w:hAnsi="Cambria" w:cs="Verdana"/>
          <w:sz w:val="22"/>
          <w:szCs w:val="22"/>
          <w:lang w:eastAsia="en-US"/>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cs="Verdana"/>
          <w:sz w:val="22"/>
          <w:szCs w:val="22"/>
          <w:lang w:eastAsia="en-US"/>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w:t>
      </w:r>
      <w:r>
        <w:rPr>
          <w:rFonts w:ascii="Cambria" w:eastAsia="Calibri" w:hAnsi="Cambria" w:cs="Verdana"/>
          <w:sz w:val="22"/>
          <w:szCs w:val="22"/>
          <w:lang w:eastAsia="en-US"/>
        </w:rPr>
        <w:br/>
      </w:r>
      <w:r w:rsidRPr="004459EA">
        <w:rPr>
          <w:rFonts w:ascii="Cambria" w:eastAsia="Calibri" w:hAnsi="Cambria" w:cs="Verdana"/>
          <w:sz w:val="22"/>
          <w:szCs w:val="22"/>
          <w:lang w:eastAsia="en-US"/>
        </w:rPr>
        <w:t xml:space="preserve"> na powstanie lub zwiększenie się szkody.</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bCs/>
          <w:sz w:val="22"/>
          <w:szCs w:val="22"/>
          <w:lang w:eastAsia="en-U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bCs/>
          <w:iCs/>
          <w:sz w:val="22"/>
          <w:szCs w:val="22"/>
          <w:lang w:eastAsia="en-US"/>
        </w:rPr>
        <w:t xml:space="preserve">Poszczególne umowy ubezpieczenia zawarte w następstwie rozstrzygnięcia postępowania </w:t>
      </w:r>
      <w:r w:rsidRPr="004459EA">
        <w:rPr>
          <w:rFonts w:ascii="Cambria" w:eastAsia="Calibri" w:hAnsi="Cambria"/>
          <w:bCs/>
          <w:iCs/>
          <w:sz w:val="22"/>
          <w:szCs w:val="22"/>
          <w:lang w:eastAsia="en-US"/>
        </w:rPr>
        <w:br/>
        <w:t xml:space="preserve">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w:t>
      </w:r>
      <w:r w:rsidRPr="004459EA">
        <w:rPr>
          <w:rFonts w:ascii="Cambria" w:eastAsia="Calibri" w:hAnsi="Cambria"/>
          <w:bCs/>
          <w:iCs/>
          <w:sz w:val="22"/>
          <w:szCs w:val="22"/>
          <w:lang w:eastAsia="en-US"/>
        </w:rPr>
        <w:lastRenderedPageBreak/>
        <w:t>całkowitą przedmiotu ubezpieczenia.</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4459EA">
        <w:rPr>
          <w:rFonts w:ascii="Cambria" w:eastAsia="Calibri" w:hAnsi="Cambria"/>
          <w:sz w:val="22"/>
          <w:szCs w:val="22"/>
          <w:lang w:eastAsia="en-US"/>
        </w:rPr>
        <w:br/>
        <w:t>z zakresem danego ubezpieczenia.</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 xml:space="preserve">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w:t>
      </w:r>
      <w:r>
        <w:rPr>
          <w:rFonts w:ascii="Cambria" w:eastAsia="Calibri" w:hAnsi="Cambria"/>
          <w:sz w:val="22"/>
          <w:szCs w:val="22"/>
          <w:lang w:eastAsia="en-US"/>
        </w:rPr>
        <w:br/>
      </w:r>
      <w:r w:rsidRPr="004459EA">
        <w:rPr>
          <w:rFonts w:ascii="Cambria" w:eastAsia="Calibri" w:hAnsi="Cambria"/>
          <w:sz w:val="22"/>
          <w:szCs w:val="22"/>
          <w:lang w:eastAsia="en-US"/>
        </w:rPr>
        <w:t>o przeciwdziałaniu narkomanii oraz przypadków wskazanych w art. 43 ustawy z dnia 22 maja 2003 r. o ubezpieczeniach obowiązkowych, Ubezpieczeniowym Funduszu Gwarancyjnym</w:t>
      </w:r>
      <w:r>
        <w:rPr>
          <w:rFonts w:ascii="Cambria" w:eastAsia="Calibri" w:hAnsi="Cambria"/>
          <w:sz w:val="22"/>
          <w:szCs w:val="22"/>
          <w:lang w:eastAsia="en-US"/>
        </w:rPr>
        <w:br/>
      </w:r>
      <w:r w:rsidRPr="004459EA">
        <w:rPr>
          <w:rFonts w:ascii="Cambria" w:eastAsia="Calibri" w:hAnsi="Cambria"/>
          <w:sz w:val="22"/>
          <w:szCs w:val="22"/>
          <w:lang w:eastAsia="en-US"/>
        </w:rPr>
        <w:t xml:space="preserve"> i Polskim Biurze Ubezpieczycieli Komunikacyjnych.</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4459EA">
        <w:rPr>
          <w:rFonts w:ascii="Cambria" w:hAnsi="Cambria"/>
          <w:sz w:val="22"/>
          <w:szCs w:val="22"/>
          <w:lang w:eastAsia="en-US"/>
        </w:rPr>
        <w:t>.</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Wykonawca akceptuje obligatoryjne zasady likwidacji szkód określone w załącznikach do SIWZ.</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w:t>
      </w:r>
      <w:r>
        <w:rPr>
          <w:rFonts w:ascii="Cambria" w:eastAsia="Calibri" w:hAnsi="Cambria"/>
          <w:sz w:val="22"/>
          <w:szCs w:val="22"/>
          <w:lang w:eastAsia="en-US"/>
        </w:rPr>
        <w:t>Biszcza</w:t>
      </w:r>
      <w:r w:rsidRPr="004459EA">
        <w:rPr>
          <w:rFonts w:ascii="Cambria" w:eastAsia="Calibri" w:hAnsi="Cambria"/>
          <w:sz w:val="22"/>
          <w:szCs w:val="22"/>
          <w:lang w:eastAsia="en-US"/>
        </w:rPr>
        <w:t xml:space="preserve">, Urzędu </w:t>
      </w:r>
      <w:r>
        <w:rPr>
          <w:rFonts w:ascii="Cambria" w:eastAsia="Calibri" w:hAnsi="Cambria"/>
          <w:sz w:val="22"/>
          <w:szCs w:val="22"/>
          <w:lang w:eastAsia="en-US"/>
        </w:rPr>
        <w:t>Gminy</w:t>
      </w:r>
      <w:r w:rsidRPr="004459EA">
        <w:rPr>
          <w:rFonts w:ascii="Cambria" w:eastAsia="Calibri" w:hAnsi="Cambria"/>
          <w:sz w:val="22"/>
          <w:szCs w:val="22"/>
          <w:lang w:eastAsia="en-US"/>
        </w:rPr>
        <w:t>, zarówno w odniesieniu do posiadanego przez nie mienia jak i prowadzonej działalności.</w:t>
      </w:r>
    </w:p>
    <w:p w:rsidR="00141231" w:rsidRPr="004459EA" w:rsidRDefault="00141231" w:rsidP="00141231">
      <w:pPr>
        <w:widowControl w:val="0"/>
        <w:numPr>
          <w:ilvl w:val="3"/>
          <w:numId w:val="1"/>
        </w:numPr>
        <w:tabs>
          <w:tab w:val="left" w:pos="426"/>
        </w:tabs>
        <w:suppressAutoHyphens w:val="0"/>
        <w:spacing w:line="276" w:lineRule="auto"/>
        <w:ind w:left="426" w:hanging="426"/>
        <w:jc w:val="both"/>
        <w:rPr>
          <w:rFonts w:ascii="Cambria" w:eastAsia="Calibri" w:hAnsi="Cambria"/>
          <w:sz w:val="22"/>
          <w:szCs w:val="22"/>
          <w:lang w:eastAsia="en-US"/>
        </w:rPr>
      </w:pPr>
      <w:r w:rsidRPr="004459EA">
        <w:rPr>
          <w:rFonts w:ascii="Cambria" w:eastAsia="Calibri" w:hAnsi="Cambria"/>
          <w:sz w:val="22"/>
          <w:szCs w:val="22"/>
          <w:lang w:eastAsia="en-US"/>
        </w:rPr>
        <w:t xml:space="preserve">Podstawą działalności zamawiającego i podmiotów objętych zamówieniem są m.in. </w:t>
      </w:r>
      <w:r w:rsidRPr="004459EA">
        <w:rPr>
          <w:rFonts w:ascii="Cambria" w:eastAsia="Calibri" w:hAnsi="Cambria"/>
          <w:sz w:val="22"/>
          <w:szCs w:val="22"/>
          <w:lang w:eastAsia="en-US"/>
        </w:rPr>
        <w:lastRenderedPageBreak/>
        <w:t>następujące akty prawa powszechnego i lokalnego (zawsze w ich aktualnym brzmieniu):</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ustawa z dnia 8 marca 1990 r. o samorządzie gminnym</w:t>
      </w:r>
    </w:p>
    <w:p w:rsidR="00141231" w:rsidRPr="004459EA" w:rsidRDefault="00141231" w:rsidP="00141231">
      <w:pPr>
        <w:widowControl w:val="0"/>
        <w:numPr>
          <w:ilvl w:val="0"/>
          <w:numId w:val="2"/>
        </w:numPr>
        <w:tabs>
          <w:tab w:val="left" w:pos="709"/>
        </w:tabs>
        <w:suppressAutoHyphens w:val="0"/>
        <w:spacing w:line="276" w:lineRule="auto"/>
        <w:ind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ustawa z dnia 29 września 1994 r. o rachunkowości</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ustawa z dnia 21 marca 1985 r. o drogach publicznych</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 xml:space="preserve"> </w:t>
      </w:r>
      <w:r w:rsidRPr="004459EA">
        <w:rPr>
          <w:rFonts w:ascii="Cambria" w:eastAsia="Calibri" w:hAnsi="Cambria"/>
          <w:bCs/>
          <w:sz w:val="22"/>
          <w:szCs w:val="22"/>
          <w:lang w:eastAsia="en-US"/>
        </w:rPr>
        <w:t>ustawa</w:t>
      </w:r>
      <w:r w:rsidRPr="004459EA">
        <w:rPr>
          <w:rFonts w:ascii="Cambria" w:eastAsia="Calibri" w:hAnsi="Cambria"/>
          <w:sz w:val="22"/>
          <w:szCs w:val="22"/>
          <w:lang w:eastAsia="en-US"/>
        </w:rPr>
        <w:t> z dnia 24 sierpnia 1991 r. o </w:t>
      </w:r>
      <w:r w:rsidRPr="004459EA">
        <w:rPr>
          <w:rFonts w:ascii="Cambria" w:eastAsia="Calibri" w:hAnsi="Cambria"/>
          <w:bCs/>
          <w:sz w:val="22"/>
          <w:szCs w:val="22"/>
          <w:lang w:eastAsia="en-US"/>
        </w:rPr>
        <w:t>ochronie przeciwpożarowej</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ustawa z dnia 23 kwietnia 1964 r. Kodeks cywilny</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ustawa z dnia 7 września 1991 r. o systemie oświaty</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bCs/>
          <w:sz w:val="22"/>
          <w:szCs w:val="22"/>
          <w:lang w:eastAsia="en-US"/>
        </w:rPr>
        <w:t>ustawa z dnia 20 kwietnia 2004 r. o promocji zatrudnienia i instytucjach rynku pracy</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 xml:space="preserve">ustawa z dnia 12 marca 2004 r. o pomocy społecznej </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ustawa z dnia 21 listopada 1996 r. o muzeach</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ustawa z dnia 25 października 1991 r. o organizowaniu i prowadzeniu działalności kulturalnej</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ustawa z dnia 23 lipca 2003 r. o ochronie zabytków i opiece nad zabytkami</w:t>
      </w:r>
    </w:p>
    <w:p w:rsidR="00141231" w:rsidRPr="004459EA" w:rsidRDefault="00141231" w:rsidP="00141231">
      <w:pPr>
        <w:widowControl w:val="0"/>
        <w:numPr>
          <w:ilvl w:val="0"/>
          <w:numId w:val="2"/>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4459EA">
        <w:rPr>
          <w:rFonts w:ascii="Cambria" w:eastAsia="Calibri" w:hAnsi="Cambria"/>
          <w:sz w:val="22"/>
          <w:szCs w:val="22"/>
          <w:lang w:eastAsia="en-US"/>
        </w:rPr>
        <w:t>inne szczególne przepisy ustawowe i wykonawcze, a także przepisy prawa miejscowego oraz statuty, regulaminy poszczególnych podmiotów objętych zamówieniem.</w:t>
      </w:r>
    </w:p>
    <w:p w:rsidR="00141231" w:rsidRPr="004459EA" w:rsidRDefault="00141231" w:rsidP="00141231">
      <w:pPr>
        <w:widowControl w:val="0"/>
        <w:numPr>
          <w:ilvl w:val="3"/>
          <w:numId w:val="1"/>
        </w:numPr>
        <w:tabs>
          <w:tab w:val="left" w:pos="426"/>
        </w:tabs>
        <w:suppressAutoHyphens w:val="0"/>
        <w:spacing w:line="276" w:lineRule="auto"/>
        <w:ind w:left="425" w:hanging="425"/>
        <w:jc w:val="both"/>
        <w:rPr>
          <w:rFonts w:ascii="Cambria" w:eastAsia="Calibri" w:hAnsi="Cambria"/>
          <w:sz w:val="22"/>
          <w:szCs w:val="22"/>
          <w:lang w:eastAsia="en-US"/>
        </w:rPr>
      </w:pPr>
      <w:r w:rsidRPr="004459EA">
        <w:rPr>
          <w:rFonts w:ascii="Cambria" w:eastAsia="Calibri" w:hAnsi="Cambria"/>
          <w:b/>
          <w:sz w:val="22"/>
          <w:szCs w:val="22"/>
          <w:lang w:eastAsia="en-US"/>
        </w:rPr>
        <w:t>Wykaz podmiotów objętych zamówieniem:</w:t>
      </w:r>
    </w:p>
    <w:p w:rsidR="00141231" w:rsidRPr="007A4FC9" w:rsidRDefault="00141231" w:rsidP="00141231">
      <w:pPr>
        <w:jc w:val="both"/>
        <w:rPr>
          <w:rFonts w:ascii="Cambria" w:hAnsi="Cambria"/>
          <w:sz w:val="22"/>
          <w:szCs w:val="22"/>
        </w:rPr>
      </w:pPr>
      <w:r w:rsidRPr="007A4FC9">
        <w:rPr>
          <w:rFonts w:ascii="Cambria" w:hAnsi="Cambria"/>
          <w:sz w:val="22"/>
          <w:szCs w:val="22"/>
        </w:rPr>
        <w:t xml:space="preserve">Gmina </w:t>
      </w:r>
      <w:r>
        <w:rPr>
          <w:rFonts w:ascii="Cambria" w:hAnsi="Cambria"/>
          <w:sz w:val="22"/>
          <w:szCs w:val="22"/>
        </w:rPr>
        <w:t>Biszcza</w:t>
      </w:r>
      <w:r w:rsidRPr="007A4FC9">
        <w:rPr>
          <w:rFonts w:ascii="Cambria" w:hAnsi="Cambria"/>
          <w:sz w:val="22"/>
          <w:szCs w:val="22"/>
        </w:rPr>
        <w:t xml:space="preserve"> realizująca wraz z Urzędem </w:t>
      </w:r>
      <w:r>
        <w:rPr>
          <w:rFonts w:ascii="Cambria" w:hAnsi="Cambria"/>
          <w:sz w:val="22"/>
          <w:szCs w:val="22"/>
        </w:rPr>
        <w:t>Gminy</w:t>
      </w:r>
      <w:r w:rsidRPr="007A4FC9">
        <w:rPr>
          <w:rFonts w:ascii="Cambria" w:hAnsi="Cambria"/>
          <w:sz w:val="22"/>
          <w:szCs w:val="22"/>
        </w:rPr>
        <w:t>, jednostkami organizacyjnymi oraz instytucjami kultury zadania własne i zlecone Gminy, określone w obowiązujących aktach prawnych oraz wynikające z zawartych porozumień, a także:</w:t>
      </w:r>
    </w:p>
    <w:p w:rsidR="00141231" w:rsidRPr="007A4FC9" w:rsidRDefault="00141231" w:rsidP="00141231">
      <w:pPr>
        <w:jc w:val="both"/>
        <w:rPr>
          <w:rFonts w:ascii="Cambria" w:hAnsi="Cambria"/>
          <w:color w:val="FF0000"/>
          <w:sz w:val="22"/>
          <w:szCs w:val="22"/>
        </w:rPr>
      </w:pPr>
    </w:p>
    <w:p w:rsidR="00141231" w:rsidRPr="00D84EF0" w:rsidRDefault="00141231" w:rsidP="00141231">
      <w:pPr>
        <w:jc w:val="both"/>
        <w:rPr>
          <w:rFonts w:ascii="Cambria" w:hAnsi="Cambria"/>
          <w:sz w:val="22"/>
          <w:szCs w:val="22"/>
        </w:rPr>
      </w:pPr>
      <w:r w:rsidRPr="00D84EF0">
        <w:rPr>
          <w:rFonts w:ascii="Cambria" w:hAnsi="Cambria"/>
          <w:sz w:val="22"/>
          <w:szCs w:val="22"/>
        </w:rPr>
        <w:t>Gmina Biszcza (REGON Gminy: 950369066, NIP Gminy: 918-19-94-195) realizująca wraz</w:t>
      </w:r>
      <w:r>
        <w:rPr>
          <w:rFonts w:ascii="Cambria" w:hAnsi="Cambria"/>
          <w:sz w:val="22"/>
          <w:szCs w:val="22"/>
        </w:rPr>
        <w:br/>
      </w:r>
      <w:r w:rsidRPr="00D84EF0">
        <w:rPr>
          <w:rFonts w:ascii="Cambria" w:hAnsi="Cambria"/>
          <w:sz w:val="22"/>
          <w:szCs w:val="22"/>
        </w:rPr>
        <w:t xml:space="preserve"> z jednostkami organizacyjnymi i instytucjami kultury zadania własne i zlecone, określone </w:t>
      </w:r>
      <w:r>
        <w:rPr>
          <w:rFonts w:ascii="Cambria" w:hAnsi="Cambria"/>
          <w:sz w:val="22"/>
          <w:szCs w:val="22"/>
        </w:rPr>
        <w:br/>
      </w:r>
      <w:r w:rsidRPr="00D84EF0">
        <w:rPr>
          <w:rFonts w:ascii="Cambria" w:hAnsi="Cambria"/>
          <w:sz w:val="22"/>
          <w:szCs w:val="22"/>
        </w:rPr>
        <w:t>w obowiązujących przepisach prawa oraz wynikające z zawartych porozumień, a także:</w:t>
      </w:r>
    </w:p>
    <w:p w:rsidR="00141231" w:rsidRPr="00D84EF0" w:rsidRDefault="00141231" w:rsidP="00141231">
      <w:pPr>
        <w:jc w:val="both"/>
        <w:rPr>
          <w:rFonts w:ascii="Cambria" w:hAnsi="Cambria"/>
          <w:sz w:val="22"/>
          <w:szCs w:val="22"/>
        </w:rPr>
      </w:pPr>
    </w:p>
    <w:p w:rsidR="00141231" w:rsidRPr="00D84EF0" w:rsidRDefault="00141231" w:rsidP="00141231">
      <w:pPr>
        <w:numPr>
          <w:ilvl w:val="0"/>
          <w:numId w:val="4"/>
        </w:numPr>
        <w:ind w:left="284" w:hanging="284"/>
        <w:jc w:val="both"/>
        <w:rPr>
          <w:rFonts w:ascii="Cambria" w:hAnsi="Cambria"/>
          <w:sz w:val="22"/>
          <w:szCs w:val="22"/>
        </w:rPr>
      </w:pPr>
      <w:r w:rsidRPr="00D84EF0">
        <w:rPr>
          <w:rFonts w:ascii="Cambria" w:hAnsi="Cambria"/>
          <w:sz w:val="22"/>
          <w:szCs w:val="22"/>
        </w:rPr>
        <w:t>Urząd Gminy Biszcza</w:t>
      </w:r>
    </w:p>
    <w:p w:rsidR="00141231" w:rsidRPr="00D84EF0" w:rsidRDefault="00141231" w:rsidP="00141231">
      <w:pPr>
        <w:jc w:val="both"/>
        <w:rPr>
          <w:rFonts w:ascii="Cambria" w:hAnsi="Cambria"/>
          <w:sz w:val="22"/>
          <w:szCs w:val="22"/>
        </w:rPr>
      </w:pPr>
      <w:r w:rsidRPr="00D84EF0">
        <w:rPr>
          <w:rFonts w:ascii="Cambria" w:hAnsi="Cambria"/>
          <w:sz w:val="22"/>
          <w:szCs w:val="22"/>
        </w:rPr>
        <w:t>Biszcza 79</w:t>
      </w:r>
    </w:p>
    <w:p w:rsidR="00141231" w:rsidRPr="00D84EF0" w:rsidRDefault="00141231" w:rsidP="00141231">
      <w:pPr>
        <w:jc w:val="both"/>
        <w:rPr>
          <w:rFonts w:ascii="Cambria" w:hAnsi="Cambria"/>
          <w:sz w:val="22"/>
          <w:szCs w:val="22"/>
        </w:rPr>
      </w:pPr>
      <w:r w:rsidRPr="00D84EF0">
        <w:rPr>
          <w:rFonts w:ascii="Cambria" w:hAnsi="Cambria"/>
          <w:sz w:val="22"/>
          <w:szCs w:val="22"/>
        </w:rPr>
        <w:t>23-425 Biszcza</w:t>
      </w:r>
    </w:p>
    <w:p w:rsidR="00141231" w:rsidRPr="00D84EF0" w:rsidRDefault="00141231" w:rsidP="00141231">
      <w:pPr>
        <w:jc w:val="both"/>
        <w:rPr>
          <w:rFonts w:ascii="Cambria" w:hAnsi="Cambria"/>
          <w:sz w:val="22"/>
          <w:szCs w:val="22"/>
        </w:rPr>
      </w:pPr>
      <w:r w:rsidRPr="00D84EF0">
        <w:rPr>
          <w:rFonts w:ascii="Cambria" w:hAnsi="Cambria"/>
          <w:sz w:val="22"/>
          <w:szCs w:val="22"/>
        </w:rPr>
        <w:t>PKD: 8411Z</w:t>
      </w:r>
    </w:p>
    <w:p w:rsidR="00141231" w:rsidRPr="00D84EF0" w:rsidRDefault="00141231" w:rsidP="00141231">
      <w:pPr>
        <w:jc w:val="both"/>
        <w:rPr>
          <w:rFonts w:ascii="Cambria" w:hAnsi="Cambria"/>
          <w:sz w:val="22"/>
          <w:szCs w:val="22"/>
        </w:rPr>
      </w:pPr>
      <w:r w:rsidRPr="00D84EF0">
        <w:rPr>
          <w:rFonts w:ascii="Cambria" w:hAnsi="Cambria"/>
          <w:sz w:val="22"/>
          <w:szCs w:val="22"/>
        </w:rPr>
        <w:t>Regon: 000999742</w:t>
      </w:r>
    </w:p>
    <w:p w:rsidR="00141231" w:rsidRPr="00D84EF0" w:rsidRDefault="00141231" w:rsidP="00141231">
      <w:pPr>
        <w:jc w:val="both"/>
        <w:rPr>
          <w:rFonts w:ascii="Cambria" w:hAnsi="Cambria"/>
          <w:sz w:val="22"/>
          <w:szCs w:val="22"/>
        </w:rPr>
      </w:pPr>
      <w:r w:rsidRPr="00D84EF0">
        <w:rPr>
          <w:rFonts w:ascii="Cambria" w:hAnsi="Cambria"/>
          <w:sz w:val="22"/>
          <w:szCs w:val="22"/>
        </w:rPr>
        <w:t>NIP: 918-11-02-044</w:t>
      </w:r>
    </w:p>
    <w:p w:rsidR="00141231" w:rsidRPr="00D84EF0" w:rsidRDefault="00141231" w:rsidP="00141231">
      <w:pPr>
        <w:jc w:val="both"/>
        <w:rPr>
          <w:rFonts w:ascii="Cambria" w:hAnsi="Cambria"/>
          <w:sz w:val="22"/>
          <w:szCs w:val="22"/>
        </w:rPr>
      </w:pPr>
      <w:r w:rsidRPr="00C23AE1">
        <w:rPr>
          <w:rFonts w:ascii="Cambria" w:hAnsi="Cambria"/>
          <w:sz w:val="22"/>
          <w:szCs w:val="22"/>
        </w:rPr>
        <w:t xml:space="preserve">Liczba pracowników: </w:t>
      </w:r>
      <w:r>
        <w:rPr>
          <w:rFonts w:ascii="Cambria" w:hAnsi="Cambria"/>
          <w:sz w:val="22"/>
          <w:szCs w:val="22"/>
        </w:rPr>
        <w:t>19</w:t>
      </w:r>
    </w:p>
    <w:p w:rsidR="00141231" w:rsidRPr="00D84EF0" w:rsidRDefault="00141231" w:rsidP="00141231">
      <w:pPr>
        <w:jc w:val="both"/>
        <w:rPr>
          <w:rFonts w:ascii="Cambria" w:hAnsi="Cambria"/>
          <w:sz w:val="22"/>
          <w:szCs w:val="22"/>
        </w:rPr>
      </w:pPr>
      <w:r w:rsidRPr="00D84EF0">
        <w:rPr>
          <w:rFonts w:ascii="Cambria" w:hAnsi="Cambria"/>
          <w:sz w:val="22"/>
          <w:szCs w:val="22"/>
        </w:rPr>
        <w:t xml:space="preserve">Opis prowadzonej działalności: realizacja wraz z innymi jednostkami organizacyjnymi zadań własnych Gminy, określonych obowiązującymi przepisami prawa i zadań zleconych, których wykonanie zlecono Gminie na podstawie porozumienia/umowy lub z mocy prawa oraz zadań przejętych przez Gminę na podstawie porozumienia/umowy. </w:t>
      </w:r>
    </w:p>
    <w:p w:rsidR="00141231" w:rsidRPr="00D84EF0" w:rsidRDefault="00141231" w:rsidP="00141231">
      <w:pPr>
        <w:jc w:val="both"/>
        <w:rPr>
          <w:rFonts w:ascii="Cambria" w:hAnsi="Cambria"/>
          <w:sz w:val="22"/>
          <w:szCs w:val="22"/>
        </w:rPr>
      </w:pPr>
      <w:r w:rsidRPr="00D84EF0">
        <w:rPr>
          <w:rFonts w:ascii="Cambria" w:hAnsi="Cambria"/>
          <w:sz w:val="22"/>
          <w:szCs w:val="22"/>
        </w:rPr>
        <w:t xml:space="preserve">Roczny planowany budżet Urzędu: </w:t>
      </w:r>
      <w:r>
        <w:rPr>
          <w:rFonts w:ascii="Cambria" w:hAnsi="Cambria"/>
          <w:sz w:val="22"/>
          <w:szCs w:val="22"/>
        </w:rPr>
        <w:t xml:space="preserve">22 360 858,12 </w:t>
      </w:r>
      <w:r w:rsidRPr="00D84EF0">
        <w:rPr>
          <w:rFonts w:ascii="Cambria" w:hAnsi="Cambria"/>
          <w:sz w:val="22"/>
          <w:szCs w:val="22"/>
        </w:rPr>
        <w:t>zł</w:t>
      </w:r>
    </w:p>
    <w:p w:rsidR="00141231" w:rsidRPr="00D84EF0" w:rsidRDefault="00141231" w:rsidP="00141231">
      <w:pPr>
        <w:jc w:val="both"/>
        <w:rPr>
          <w:rFonts w:ascii="Cambria" w:hAnsi="Cambria"/>
          <w:sz w:val="22"/>
          <w:szCs w:val="22"/>
        </w:rPr>
      </w:pPr>
      <w:r w:rsidRPr="00D84EF0">
        <w:rPr>
          <w:rFonts w:ascii="Cambria" w:hAnsi="Cambria"/>
          <w:sz w:val="22"/>
          <w:szCs w:val="22"/>
        </w:rPr>
        <w:t xml:space="preserve">Gmina dysponuje zbiornikiem wodnym o powierzchni 44 ha lustra wody, pojemności 762 tys. m3. Został on oddany do użytkowania w 2008 roku.  </w:t>
      </w:r>
    </w:p>
    <w:p w:rsidR="00141231" w:rsidRPr="00D84EF0" w:rsidRDefault="00141231" w:rsidP="00141231">
      <w:pPr>
        <w:jc w:val="both"/>
        <w:rPr>
          <w:rFonts w:ascii="Cambria" w:hAnsi="Cambria"/>
          <w:sz w:val="22"/>
          <w:szCs w:val="22"/>
        </w:rPr>
      </w:pPr>
      <w:r w:rsidRPr="00D84EF0">
        <w:rPr>
          <w:rFonts w:ascii="Cambria" w:hAnsi="Cambria"/>
          <w:sz w:val="22"/>
          <w:szCs w:val="22"/>
        </w:rPr>
        <w:t>W sezonie letnim funkcjonuje kąpielisko strzeżone o wymiarach 50 x 25 i większe z zatrudnionymi ratownikami.</w:t>
      </w:r>
    </w:p>
    <w:p w:rsidR="00141231" w:rsidRPr="00D84EF0" w:rsidRDefault="00141231" w:rsidP="00141231">
      <w:pPr>
        <w:jc w:val="both"/>
        <w:rPr>
          <w:rFonts w:ascii="Cambria" w:hAnsi="Cambria"/>
          <w:sz w:val="22"/>
          <w:szCs w:val="22"/>
        </w:rPr>
      </w:pPr>
      <w:r w:rsidRPr="00D84EF0">
        <w:rPr>
          <w:rFonts w:ascii="Cambria" w:hAnsi="Cambria"/>
          <w:sz w:val="22"/>
          <w:szCs w:val="22"/>
        </w:rPr>
        <w:t>Biszcza – Żary na działkach stanowiących własność gminy o łącznej powierzchni 10,2089 ha.</w:t>
      </w:r>
    </w:p>
    <w:p w:rsidR="00141231" w:rsidRPr="00D84EF0" w:rsidRDefault="00141231" w:rsidP="00141231">
      <w:pPr>
        <w:jc w:val="both"/>
        <w:rPr>
          <w:rFonts w:ascii="Cambria" w:hAnsi="Cambria"/>
          <w:sz w:val="22"/>
          <w:szCs w:val="22"/>
        </w:rPr>
      </w:pPr>
      <w:r w:rsidRPr="00D84EF0">
        <w:rPr>
          <w:rFonts w:ascii="Cambria" w:hAnsi="Cambria"/>
          <w:sz w:val="22"/>
          <w:szCs w:val="22"/>
        </w:rPr>
        <w:t>- kemping wraz z polem namiotowym,</w:t>
      </w:r>
    </w:p>
    <w:p w:rsidR="00141231" w:rsidRPr="00D84EF0" w:rsidRDefault="00141231" w:rsidP="00141231">
      <w:pPr>
        <w:jc w:val="both"/>
        <w:rPr>
          <w:rFonts w:ascii="Cambria" w:hAnsi="Cambria"/>
          <w:sz w:val="22"/>
          <w:szCs w:val="22"/>
        </w:rPr>
      </w:pPr>
      <w:r w:rsidRPr="00D84EF0">
        <w:rPr>
          <w:rFonts w:ascii="Cambria" w:hAnsi="Cambria"/>
          <w:sz w:val="22"/>
          <w:szCs w:val="22"/>
        </w:rPr>
        <w:t>- budynek o powierzchni zabudowy 140,59 m2, powierzchni użytkowej 124,8 m2 oraz kubaturze 550,00 m3,</w:t>
      </w:r>
    </w:p>
    <w:p w:rsidR="00141231" w:rsidRPr="00D84EF0" w:rsidRDefault="00141231" w:rsidP="00141231">
      <w:pPr>
        <w:jc w:val="both"/>
        <w:rPr>
          <w:rFonts w:ascii="Cambria" w:hAnsi="Cambria"/>
          <w:sz w:val="22"/>
          <w:szCs w:val="22"/>
        </w:rPr>
      </w:pPr>
      <w:r w:rsidRPr="00D84EF0">
        <w:rPr>
          <w:rFonts w:ascii="Cambria" w:hAnsi="Cambria"/>
          <w:sz w:val="22"/>
          <w:szCs w:val="22"/>
        </w:rPr>
        <w:t>- miejsce na spożywanie posiłków i kuchnia (wiata zadaszona), gdzie będzie można przygotować</w:t>
      </w:r>
      <w:r>
        <w:rPr>
          <w:rFonts w:ascii="Cambria" w:hAnsi="Cambria"/>
          <w:sz w:val="22"/>
          <w:szCs w:val="22"/>
        </w:rPr>
        <w:br/>
      </w:r>
      <w:r w:rsidRPr="00D84EF0">
        <w:rPr>
          <w:rFonts w:ascii="Cambria" w:hAnsi="Cambria"/>
          <w:sz w:val="22"/>
          <w:szCs w:val="22"/>
        </w:rPr>
        <w:t xml:space="preserve"> i skonsumować posiłek, </w:t>
      </w:r>
    </w:p>
    <w:p w:rsidR="00141231" w:rsidRPr="00D84EF0" w:rsidRDefault="00141231" w:rsidP="00141231">
      <w:pPr>
        <w:jc w:val="both"/>
        <w:rPr>
          <w:rFonts w:ascii="Cambria" w:hAnsi="Cambria"/>
          <w:sz w:val="22"/>
          <w:szCs w:val="22"/>
        </w:rPr>
      </w:pPr>
      <w:r w:rsidRPr="00D84EF0">
        <w:rPr>
          <w:rFonts w:ascii="Cambria" w:hAnsi="Cambria"/>
          <w:sz w:val="22"/>
          <w:szCs w:val="22"/>
        </w:rPr>
        <w:t>- miejsca na rowery i sprzęt wodny,</w:t>
      </w:r>
    </w:p>
    <w:p w:rsidR="00141231" w:rsidRPr="00D84EF0" w:rsidRDefault="00141231" w:rsidP="00141231">
      <w:pPr>
        <w:jc w:val="both"/>
        <w:rPr>
          <w:rFonts w:ascii="Cambria" w:hAnsi="Cambria"/>
          <w:sz w:val="22"/>
          <w:szCs w:val="22"/>
        </w:rPr>
      </w:pPr>
      <w:r w:rsidRPr="00D84EF0">
        <w:rPr>
          <w:rFonts w:ascii="Cambria" w:hAnsi="Cambria"/>
          <w:sz w:val="22"/>
          <w:szCs w:val="22"/>
        </w:rPr>
        <w:t>- miejsca parkingowe,</w:t>
      </w:r>
    </w:p>
    <w:p w:rsidR="00141231" w:rsidRPr="00D84EF0" w:rsidRDefault="00141231" w:rsidP="00141231">
      <w:pPr>
        <w:jc w:val="both"/>
        <w:rPr>
          <w:rFonts w:ascii="Cambria" w:hAnsi="Cambria"/>
          <w:sz w:val="22"/>
          <w:szCs w:val="22"/>
        </w:rPr>
      </w:pPr>
      <w:r w:rsidRPr="00D84EF0">
        <w:rPr>
          <w:rFonts w:ascii="Cambria" w:hAnsi="Cambria"/>
          <w:sz w:val="22"/>
          <w:szCs w:val="22"/>
        </w:rPr>
        <w:t>- dwa pomosty na zbiorniku wodnym,</w:t>
      </w:r>
    </w:p>
    <w:p w:rsidR="00141231" w:rsidRPr="00D84EF0" w:rsidRDefault="00141231" w:rsidP="00141231">
      <w:pPr>
        <w:jc w:val="both"/>
        <w:rPr>
          <w:rFonts w:ascii="Cambria" w:hAnsi="Cambria"/>
          <w:sz w:val="22"/>
          <w:szCs w:val="22"/>
        </w:rPr>
      </w:pPr>
      <w:r w:rsidRPr="00D84EF0">
        <w:rPr>
          <w:rFonts w:ascii="Cambria" w:hAnsi="Cambria"/>
          <w:sz w:val="22"/>
          <w:szCs w:val="22"/>
        </w:rPr>
        <w:t>- dwa sanitariaty.</w:t>
      </w:r>
    </w:p>
    <w:p w:rsidR="00141231" w:rsidRPr="00D84EF0" w:rsidRDefault="00141231" w:rsidP="00141231">
      <w:pPr>
        <w:jc w:val="both"/>
        <w:rPr>
          <w:rFonts w:ascii="Cambria" w:hAnsi="Cambria"/>
          <w:sz w:val="22"/>
          <w:szCs w:val="22"/>
        </w:rPr>
      </w:pPr>
      <w:r w:rsidRPr="00D84EF0">
        <w:rPr>
          <w:rFonts w:ascii="Cambria" w:hAnsi="Cambria"/>
          <w:sz w:val="22"/>
          <w:szCs w:val="22"/>
        </w:rPr>
        <w:t>Lokalizacje:</w:t>
      </w:r>
    </w:p>
    <w:p w:rsidR="00141231" w:rsidRPr="00D84EF0" w:rsidRDefault="00141231" w:rsidP="00141231">
      <w:pPr>
        <w:jc w:val="both"/>
        <w:rPr>
          <w:rFonts w:ascii="Cambria" w:hAnsi="Cambria"/>
          <w:sz w:val="22"/>
          <w:szCs w:val="22"/>
        </w:rPr>
      </w:pPr>
      <w:r w:rsidRPr="00D84EF0">
        <w:rPr>
          <w:rFonts w:ascii="Cambria" w:hAnsi="Cambria"/>
          <w:sz w:val="22"/>
          <w:szCs w:val="22"/>
        </w:rPr>
        <w:lastRenderedPageBreak/>
        <w:t xml:space="preserve">Budynki i budowle Urzędu Gminy w Biszczy, Wólce Biskiej, Bukowinie, Żarach, Gózd Lipińskim, Biszczy I, Biszczy II, </w:t>
      </w:r>
    </w:p>
    <w:p w:rsidR="00141231" w:rsidRPr="00D84EF0" w:rsidRDefault="00141231" w:rsidP="00141231">
      <w:pPr>
        <w:jc w:val="both"/>
        <w:rPr>
          <w:rFonts w:ascii="Cambria" w:hAnsi="Cambria"/>
          <w:sz w:val="22"/>
          <w:szCs w:val="22"/>
        </w:rPr>
      </w:pPr>
    </w:p>
    <w:p w:rsidR="00141231" w:rsidRPr="004459EA" w:rsidRDefault="00141231" w:rsidP="00141231">
      <w:pPr>
        <w:widowControl w:val="0"/>
        <w:numPr>
          <w:ilvl w:val="3"/>
          <w:numId w:val="1"/>
        </w:numPr>
        <w:tabs>
          <w:tab w:val="left" w:pos="0"/>
          <w:tab w:val="left" w:pos="426"/>
        </w:tabs>
        <w:suppressAutoHyphens w:val="0"/>
        <w:spacing w:line="276" w:lineRule="auto"/>
        <w:ind w:left="0" w:firstLine="0"/>
        <w:jc w:val="both"/>
        <w:rPr>
          <w:rFonts w:ascii="Cambria" w:hAnsi="Cambria"/>
          <w:sz w:val="22"/>
          <w:szCs w:val="22"/>
        </w:rPr>
      </w:pPr>
      <w:r w:rsidRPr="004459EA">
        <w:rPr>
          <w:rFonts w:ascii="Cambria" w:hAnsi="Cambria"/>
          <w:sz w:val="22"/>
          <w:szCs w:val="22"/>
        </w:rPr>
        <w:t>Zakres działalności wskazany powyżej może ulegać zmianie.</w:t>
      </w:r>
    </w:p>
    <w:p w:rsidR="00141231" w:rsidRPr="004459EA" w:rsidRDefault="00141231" w:rsidP="00141231">
      <w:pPr>
        <w:widowControl w:val="0"/>
        <w:numPr>
          <w:ilvl w:val="3"/>
          <w:numId w:val="1"/>
        </w:numPr>
        <w:tabs>
          <w:tab w:val="left" w:pos="0"/>
          <w:tab w:val="left" w:pos="426"/>
        </w:tabs>
        <w:suppressAutoHyphens w:val="0"/>
        <w:spacing w:line="276" w:lineRule="auto"/>
        <w:ind w:left="0" w:firstLine="0"/>
        <w:jc w:val="both"/>
        <w:rPr>
          <w:rFonts w:ascii="Cambria" w:hAnsi="Cambria"/>
          <w:sz w:val="22"/>
          <w:szCs w:val="22"/>
        </w:rPr>
      </w:pPr>
      <w:r w:rsidRPr="004459EA">
        <w:rPr>
          <w:rFonts w:ascii="Cambria" w:hAnsi="Cambria"/>
          <w:sz w:val="22"/>
          <w:szCs w:val="22"/>
        </w:rPr>
        <w:t xml:space="preserve">Gminę </w:t>
      </w:r>
      <w:r>
        <w:rPr>
          <w:rFonts w:ascii="Cambria" w:hAnsi="Cambria"/>
          <w:sz w:val="22"/>
          <w:szCs w:val="22"/>
        </w:rPr>
        <w:t>Biszcza</w:t>
      </w:r>
      <w:r w:rsidRPr="004459EA">
        <w:rPr>
          <w:rFonts w:ascii="Cambria" w:hAnsi="Cambria"/>
          <w:sz w:val="22"/>
          <w:szCs w:val="22"/>
        </w:rPr>
        <w:t xml:space="preserve"> tworzy </w:t>
      </w:r>
      <w:r>
        <w:rPr>
          <w:rFonts w:ascii="Cambria" w:hAnsi="Cambria"/>
          <w:bCs/>
          <w:sz w:val="22"/>
          <w:szCs w:val="22"/>
        </w:rPr>
        <w:t>8</w:t>
      </w:r>
      <w:r w:rsidRPr="004459EA">
        <w:rPr>
          <w:rFonts w:ascii="Cambria" w:hAnsi="Cambria"/>
          <w:bCs/>
          <w:sz w:val="22"/>
          <w:szCs w:val="22"/>
        </w:rPr>
        <w:t xml:space="preserve"> jednostek pomocniczych - sołectw, </w:t>
      </w:r>
      <w:r w:rsidRPr="004459EA">
        <w:rPr>
          <w:rFonts w:ascii="Cambria" w:hAnsi="Cambria"/>
          <w:sz w:val="22"/>
          <w:szCs w:val="22"/>
        </w:rPr>
        <w:t xml:space="preserve">którymi kierują rady sołeckie </w:t>
      </w:r>
      <w:r w:rsidRPr="004459EA">
        <w:rPr>
          <w:rFonts w:ascii="Cambria" w:hAnsi="Cambria"/>
          <w:sz w:val="22"/>
          <w:szCs w:val="22"/>
        </w:rPr>
        <w:br/>
        <w:t>i sołtysi. Gminie za osoby te może być przypisana odpowiedzialność.</w:t>
      </w:r>
      <w:r w:rsidRPr="004459EA">
        <w:rPr>
          <w:rFonts w:ascii="Cambria" w:hAnsi="Cambria"/>
          <w:bCs/>
          <w:sz w:val="22"/>
          <w:szCs w:val="22"/>
        </w:rPr>
        <w:t xml:space="preserve"> </w:t>
      </w:r>
    </w:p>
    <w:p w:rsidR="00141231" w:rsidRPr="004459EA" w:rsidRDefault="00141231" w:rsidP="00141231">
      <w:pPr>
        <w:widowControl w:val="0"/>
        <w:numPr>
          <w:ilvl w:val="3"/>
          <w:numId w:val="1"/>
        </w:numPr>
        <w:tabs>
          <w:tab w:val="left" w:pos="0"/>
          <w:tab w:val="left" w:pos="426"/>
        </w:tabs>
        <w:suppressAutoHyphens w:val="0"/>
        <w:spacing w:line="276" w:lineRule="auto"/>
        <w:ind w:left="0" w:firstLine="0"/>
        <w:jc w:val="both"/>
        <w:rPr>
          <w:rFonts w:ascii="Cambria" w:hAnsi="Cambria"/>
          <w:sz w:val="22"/>
          <w:szCs w:val="22"/>
        </w:rPr>
      </w:pPr>
      <w:r w:rsidRPr="004459EA">
        <w:rPr>
          <w:rFonts w:ascii="Cambria" w:eastAsia="Calibri" w:hAnsi="Cambria"/>
          <w:sz w:val="22"/>
          <w:szCs w:val="22"/>
        </w:rPr>
        <w:t>Ubezpieczenie obejmuje wszystkie aktualne lokalizacje</w:t>
      </w:r>
      <w:r>
        <w:rPr>
          <w:rFonts w:ascii="Cambria" w:eastAsia="Calibri" w:hAnsi="Cambria"/>
          <w:sz w:val="22"/>
          <w:szCs w:val="22"/>
        </w:rPr>
        <w:t xml:space="preserve"> </w:t>
      </w:r>
      <w:r w:rsidRPr="004459EA">
        <w:rPr>
          <w:rFonts w:ascii="Cambria" w:eastAsia="Calibri" w:hAnsi="Cambria"/>
          <w:sz w:val="22"/>
          <w:szCs w:val="22"/>
        </w:rPr>
        <w:t xml:space="preserve">Gminy </w:t>
      </w:r>
      <w:r>
        <w:rPr>
          <w:rFonts w:ascii="Cambria" w:eastAsia="Calibri" w:hAnsi="Cambria"/>
          <w:sz w:val="22"/>
          <w:szCs w:val="22"/>
        </w:rPr>
        <w:t>Biszcza</w:t>
      </w:r>
      <w:r w:rsidRPr="004459EA">
        <w:rPr>
          <w:rFonts w:ascii="Cambria" w:eastAsia="Calibri" w:hAnsi="Cambria"/>
          <w:sz w:val="22"/>
          <w:szCs w:val="22"/>
        </w:rPr>
        <w:t xml:space="preserve">, </w:t>
      </w:r>
    </w:p>
    <w:p w:rsidR="00141231" w:rsidRPr="004459EA" w:rsidRDefault="00141231" w:rsidP="00141231">
      <w:pPr>
        <w:widowControl w:val="0"/>
        <w:numPr>
          <w:ilvl w:val="3"/>
          <w:numId w:val="1"/>
        </w:numPr>
        <w:tabs>
          <w:tab w:val="left" w:pos="0"/>
          <w:tab w:val="left" w:pos="426"/>
        </w:tabs>
        <w:suppressAutoHyphens w:val="0"/>
        <w:spacing w:line="276" w:lineRule="auto"/>
        <w:ind w:left="0" w:firstLine="0"/>
        <w:jc w:val="both"/>
        <w:rPr>
          <w:rFonts w:ascii="Cambria" w:hAnsi="Cambria"/>
          <w:sz w:val="22"/>
          <w:szCs w:val="22"/>
        </w:rPr>
      </w:pPr>
      <w:r w:rsidRPr="004459EA">
        <w:rPr>
          <w:rFonts w:ascii="Cambria" w:eastAsia="Calibri" w:hAnsi="Cambria"/>
          <w:bCs/>
          <w:iCs/>
          <w:sz w:val="22"/>
          <w:szCs w:val="22"/>
          <w:lang w:eastAsia="en-U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141231" w:rsidRPr="004459EA" w:rsidRDefault="00141231" w:rsidP="00141231">
      <w:pPr>
        <w:widowControl w:val="0"/>
        <w:numPr>
          <w:ilvl w:val="3"/>
          <w:numId w:val="1"/>
        </w:numPr>
        <w:tabs>
          <w:tab w:val="left" w:pos="0"/>
          <w:tab w:val="left" w:pos="567"/>
        </w:tabs>
        <w:suppressAutoHyphens w:val="0"/>
        <w:spacing w:line="276" w:lineRule="auto"/>
        <w:ind w:left="0" w:firstLine="0"/>
        <w:jc w:val="both"/>
        <w:rPr>
          <w:rFonts w:ascii="Cambria" w:hAnsi="Cambria"/>
          <w:sz w:val="22"/>
          <w:szCs w:val="22"/>
        </w:rPr>
      </w:pPr>
      <w:r w:rsidRPr="004459EA">
        <w:rPr>
          <w:rFonts w:ascii="Cambria" w:eastAsia="SimSun" w:hAnsi="Cambria"/>
          <w:sz w:val="22"/>
          <w:szCs w:val="22"/>
          <w:lang w:eastAsia="en-US"/>
        </w:rPr>
        <w:t>Informacja o brokerze ubezpieczeniowym.</w:t>
      </w:r>
    </w:p>
    <w:p w:rsidR="00141231" w:rsidRDefault="00141231" w:rsidP="00141231">
      <w:pPr>
        <w:widowControl w:val="0"/>
        <w:tabs>
          <w:tab w:val="num" w:pos="360"/>
        </w:tabs>
        <w:suppressAutoHyphens w:val="0"/>
        <w:jc w:val="both"/>
        <w:rPr>
          <w:rFonts w:ascii="Cambria" w:eastAsia="SimSun" w:hAnsi="Cambria"/>
          <w:sz w:val="22"/>
          <w:szCs w:val="22"/>
          <w:lang w:eastAsia="en-US"/>
        </w:rPr>
      </w:pPr>
      <w:r w:rsidRPr="004459EA">
        <w:rPr>
          <w:rFonts w:ascii="Cambria" w:eastAsia="SimSun" w:hAnsi="Cambria"/>
          <w:sz w:val="22"/>
          <w:szCs w:val="22"/>
          <w:lang w:eastAsia="en-US"/>
        </w:rPr>
        <w:t xml:space="preserve">W przygotowaniu, wdrożeniu i obsłudze programu ubezpieczeniowego (szczegółowego opisu przedmiotu zamówienia), uczestniczy broker ubezpieczeniowy, Inter-Broker sp. z o.o., z siedzibą </w:t>
      </w:r>
    </w:p>
    <w:p w:rsidR="00141231" w:rsidRPr="004459EA" w:rsidRDefault="00141231" w:rsidP="00141231">
      <w:pPr>
        <w:widowControl w:val="0"/>
        <w:tabs>
          <w:tab w:val="num" w:pos="360"/>
        </w:tabs>
        <w:suppressAutoHyphens w:val="0"/>
        <w:jc w:val="both"/>
        <w:rPr>
          <w:rFonts w:ascii="Cambria" w:eastAsia="SimSun" w:hAnsi="Cambria"/>
          <w:sz w:val="22"/>
          <w:szCs w:val="22"/>
          <w:lang w:eastAsia="en-US"/>
        </w:rPr>
      </w:pPr>
      <w:r w:rsidRPr="004459EA">
        <w:rPr>
          <w:rFonts w:ascii="Cambria" w:eastAsia="SimSun" w:hAnsi="Cambria"/>
          <w:sz w:val="22"/>
          <w:szCs w:val="22"/>
          <w:lang w:eastAsia="en-US"/>
        </w:rPr>
        <w:t xml:space="preserve">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w:t>
      </w:r>
      <w:r>
        <w:rPr>
          <w:rFonts w:ascii="Cambria" w:eastAsia="SimSun" w:hAnsi="Cambria"/>
          <w:sz w:val="22"/>
          <w:szCs w:val="22"/>
          <w:lang w:eastAsia="en-US"/>
        </w:rPr>
        <w:br/>
      </w:r>
      <w:r w:rsidRPr="004459EA">
        <w:rPr>
          <w:rFonts w:ascii="Cambria" w:eastAsia="SimSun" w:hAnsi="Cambria"/>
          <w:sz w:val="22"/>
          <w:szCs w:val="22"/>
          <w:lang w:eastAsia="en-US"/>
        </w:rPr>
        <w:t>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rsidR="00141231" w:rsidRPr="004459EA" w:rsidRDefault="00141231" w:rsidP="00141231">
      <w:pPr>
        <w:widowControl w:val="0"/>
        <w:numPr>
          <w:ilvl w:val="3"/>
          <w:numId w:val="1"/>
        </w:numPr>
        <w:tabs>
          <w:tab w:val="left" w:pos="426"/>
        </w:tabs>
        <w:suppressAutoHyphens w:val="0"/>
        <w:spacing w:line="276" w:lineRule="auto"/>
        <w:ind w:left="0" w:firstLine="0"/>
        <w:jc w:val="both"/>
        <w:rPr>
          <w:rFonts w:ascii="Cambria" w:eastAsia="Calibri" w:hAnsi="Cambria"/>
          <w:sz w:val="22"/>
          <w:szCs w:val="22"/>
          <w:lang w:eastAsia="pl-PL"/>
        </w:rPr>
      </w:pPr>
      <w:r w:rsidRPr="004459EA">
        <w:rPr>
          <w:rFonts w:ascii="Cambria" w:eastAsia="Calibri" w:hAnsi="Cambria"/>
          <w:bCs/>
          <w:iCs/>
          <w:sz w:val="22"/>
          <w:szCs w:val="22"/>
          <w:lang w:eastAsia="pl-PL"/>
        </w:rPr>
        <w:t>Klauzula praw autorskich.</w:t>
      </w:r>
    </w:p>
    <w:p w:rsidR="0060321F" w:rsidRDefault="00141231" w:rsidP="00141231">
      <w:r w:rsidRPr="004459EA">
        <w:rPr>
          <w:rFonts w:ascii="Cambria" w:eastAsia="Calibri" w:hAnsi="Cambria"/>
          <w:sz w:val="22"/>
          <w:szCs w:val="22"/>
          <w:lang w:eastAsia="pl-PL"/>
        </w:rPr>
        <w:t xml:space="preserve">Inter-Broker sp. z o.o. informuje, że program ubezpieczeniowy zawarty w niniejszym dokumencie stanowi utwór w myśl ustawy z dnia 4 lutego 1994 r. o prawie autorskim i prawach pokrewnych </w:t>
      </w:r>
      <w:r w:rsidRPr="004459EA">
        <w:rPr>
          <w:rFonts w:ascii="Cambria" w:eastAsia="Calibri" w:hAnsi="Cambria"/>
          <w:sz w:val="22"/>
          <w:szCs w:val="22"/>
          <w:lang w:eastAsia="pl-PL"/>
        </w:rPr>
        <w:br/>
        <w:t xml:space="preserve">(Dz.U. 1994 r. nr 24 poz. 83 z </w:t>
      </w:r>
      <w:proofErr w:type="spellStart"/>
      <w:r w:rsidRPr="004459EA">
        <w:rPr>
          <w:rFonts w:ascii="Cambria" w:eastAsia="Calibri" w:hAnsi="Cambria"/>
          <w:sz w:val="22"/>
          <w:szCs w:val="22"/>
          <w:lang w:eastAsia="pl-PL"/>
        </w:rPr>
        <w:t>późn</w:t>
      </w:r>
      <w:proofErr w:type="spellEnd"/>
      <w:r w:rsidRPr="004459EA">
        <w:rPr>
          <w:rFonts w:ascii="Cambria" w:eastAsia="Calibri" w:hAnsi="Cambria"/>
          <w:sz w:val="22"/>
          <w:szCs w:val="22"/>
          <w:lang w:eastAsia="pl-PL"/>
        </w:rPr>
        <w:t>.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sectPr w:rsidR="00603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7ACF"/>
    <w:multiLevelType w:val="hybridMultilevel"/>
    <w:tmpl w:val="1D222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94"/>
    <w:rsid w:val="00141231"/>
    <w:rsid w:val="004E0E94"/>
    <w:rsid w:val="0060321F"/>
    <w:rsid w:val="00A366F2"/>
    <w:rsid w:val="00CA3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23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23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2749</Words>
  <Characters>16496</Characters>
  <Application>Microsoft Office Word</Application>
  <DocSecurity>0</DocSecurity>
  <Lines>137</Lines>
  <Paragraphs>38</Paragraphs>
  <ScaleCrop>false</ScaleCrop>
  <Company>Hewlett-Packard Company</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dcterms:created xsi:type="dcterms:W3CDTF">2020-10-22T12:27:00Z</dcterms:created>
  <dcterms:modified xsi:type="dcterms:W3CDTF">2020-10-22T12:27:00Z</dcterms:modified>
</cp:coreProperties>
</file>